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4CA0" w14:textId="2ABCCC45" w:rsidR="00CF7421" w:rsidRDefault="00CF7421" w:rsidP="00CF7421">
      <w:pPr>
        <w:jc w:val="right"/>
        <w:rPr>
          <w:b/>
          <w:bCs/>
          <w:sz w:val="24"/>
          <w:szCs w:val="24"/>
          <w:u w:val="single"/>
        </w:rPr>
      </w:pPr>
      <w:r>
        <w:rPr>
          <w:noProof/>
        </w:rPr>
        <w:drawing>
          <wp:inline distT="0" distB="0" distL="0" distR="0" wp14:anchorId="27F54FFB" wp14:editId="4F829901">
            <wp:extent cx="1013460" cy="757042"/>
            <wp:effectExtent l="0" t="0" r="0" b="5080"/>
            <wp:docPr id="1"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AI-generated content may be incorrect."/>
                    <pic:cNvPicPr/>
                  </pic:nvPicPr>
                  <pic:blipFill>
                    <a:blip r:embed="rId5"/>
                    <a:stretch>
                      <a:fillRect/>
                    </a:stretch>
                  </pic:blipFill>
                  <pic:spPr>
                    <a:xfrm>
                      <a:off x="0" y="0"/>
                      <a:ext cx="1021906" cy="763351"/>
                    </a:xfrm>
                    <a:prstGeom prst="rect">
                      <a:avLst/>
                    </a:prstGeom>
                  </pic:spPr>
                </pic:pic>
              </a:graphicData>
            </a:graphic>
          </wp:inline>
        </w:drawing>
      </w:r>
    </w:p>
    <w:p w14:paraId="48A37268" w14:textId="145D4D6F" w:rsidR="00CF7421" w:rsidRPr="00CF7421" w:rsidRDefault="00CF7421" w:rsidP="00CF7421">
      <w:pPr>
        <w:jc w:val="center"/>
        <w:rPr>
          <w:b/>
          <w:bCs/>
          <w:sz w:val="24"/>
          <w:szCs w:val="24"/>
          <w:u w:val="single"/>
        </w:rPr>
      </w:pPr>
      <w:r w:rsidRPr="00CF7421">
        <w:rPr>
          <w:b/>
          <w:bCs/>
          <w:sz w:val="24"/>
          <w:szCs w:val="24"/>
          <w:u w:val="single"/>
        </w:rPr>
        <w:t>East Hall School Criminal Record Disclosure</w:t>
      </w:r>
    </w:p>
    <w:tbl>
      <w:tblPr>
        <w:tblpPr w:leftFromText="180" w:rightFromText="180" w:vertAnchor="text" w:horzAnchor="margin" w:tblpXSpec="center" w:tblpY="22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CF7421" w14:paraId="5628AD6F" w14:textId="77777777" w:rsidTr="00CF7421">
        <w:tc>
          <w:tcPr>
            <w:tcW w:w="10456" w:type="dxa"/>
            <w:gridSpan w:val="3"/>
            <w:shd w:val="clear" w:color="auto" w:fill="D9D9D9"/>
          </w:tcPr>
          <w:p w14:paraId="265997FE" w14:textId="77777777" w:rsidR="00CF7421" w:rsidRDefault="00CF7421" w:rsidP="00CF7421">
            <w:pPr>
              <w:rPr>
                <w:rFonts w:ascii="Arial" w:eastAsia="Arial" w:hAnsi="Arial" w:cs="Arial"/>
                <w:b/>
                <w:sz w:val="20"/>
                <w:szCs w:val="20"/>
              </w:rPr>
            </w:pPr>
            <w:r>
              <w:rPr>
                <w:rFonts w:ascii="Arial" w:eastAsia="Arial" w:hAnsi="Arial" w:cs="Arial"/>
                <w:b/>
                <w:sz w:val="20"/>
                <w:szCs w:val="20"/>
              </w:rPr>
              <w:t>Private and Confidential- Rehabilitation of Offenders Act 1974</w:t>
            </w:r>
          </w:p>
        </w:tc>
      </w:tr>
      <w:tr w:rsidR="00CF7421" w14:paraId="0206F925" w14:textId="77777777" w:rsidTr="00CF7421">
        <w:tc>
          <w:tcPr>
            <w:tcW w:w="10456" w:type="dxa"/>
            <w:gridSpan w:val="3"/>
          </w:tcPr>
          <w:p w14:paraId="71926412"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 xml:space="preserve">An employer’s ability to make employment decisions based on an individual’s past criminal convictions is governed by the Rehabilitation of Offenders Act 1974. The Act specifies that after certain periods of time anyone who has been convicted of a criminal offence and who has served their sentence be not obliged to disclose past convictions. Any offender whose conviction has become ‘spent’ is known as a ‘rehabilitated’ person. </w:t>
            </w:r>
            <w:proofErr w:type="gramStart"/>
            <w:r>
              <w:rPr>
                <w:rFonts w:ascii="Arial" w:eastAsia="Arial" w:hAnsi="Arial" w:cs="Arial"/>
                <w:color w:val="333333"/>
                <w:sz w:val="20"/>
                <w:szCs w:val="20"/>
              </w:rPr>
              <w:t>However</w:t>
            </w:r>
            <w:proofErr w:type="gramEnd"/>
            <w:r>
              <w:rPr>
                <w:rFonts w:ascii="Arial" w:eastAsia="Arial" w:hAnsi="Arial" w:cs="Arial"/>
                <w:color w:val="333333"/>
                <w:sz w:val="20"/>
                <w:szCs w:val="20"/>
              </w:rPr>
              <w:t xml:space="preserve"> there are certain convictions, depending on the nature of the punishment received and the age of the offender, for which a person can never become rehabilitated. These are outlined in Section 5 of the 1974 Act.</w:t>
            </w:r>
          </w:p>
          <w:p w14:paraId="18160432"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p>
          <w:p w14:paraId="1FABBD2B"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 xml:space="preserve">There </w:t>
            </w:r>
            <w:proofErr w:type="gramStart"/>
            <w:r>
              <w:rPr>
                <w:rFonts w:ascii="Arial" w:eastAsia="Arial" w:hAnsi="Arial" w:cs="Arial"/>
                <w:color w:val="333333"/>
                <w:sz w:val="20"/>
                <w:szCs w:val="20"/>
              </w:rPr>
              <w:t>is</w:t>
            </w:r>
            <w:proofErr w:type="gramEnd"/>
            <w:r>
              <w:rPr>
                <w:rFonts w:ascii="Arial" w:eastAsia="Arial" w:hAnsi="Arial" w:cs="Arial"/>
                <w:color w:val="333333"/>
                <w:sz w:val="20"/>
                <w:szCs w:val="20"/>
              </w:rPr>
              <w:t xml:space="preserve"> however exceptions to these entitlements where the non-disclosure of past convictions in certain professions and employments would cause wider public concern. These exceptions are contained in the Rehabilitation of Offenders Act 1974 (exceptions) Order 1975/2001. By virtue of this Order potential employees for the following exempted occupations listed are legally obliged to disclose all past spent or unspent convictions:</w:t>
            </w:r>
          </w:p>
          <w:p w14:paraId="1A84EDA5" w14:textId="77777777" w:rsidR="00CF7421" w:rsidRDefault="00CF7421" w:rsidP="00CF7421">
            <w:pPr>
              <w:numPr>
                <w:ilvl w:val="0"/>
                <w:numId w:val="1"/>
              </w:numPr>
              <w:pBdr>
                <w:top w:val="nil"/>
                <w:left w:val="nil"/>
                <w:bottom w:val="nil"/>
                <w:right w:val="nil"/>
                <w:between w:val="nil"/>
              </w:pBdr>
              <w:spacing w:after="0" w:line="240" w:lineRule="auto"/>
              <w:jc w:val="both"/>
              <w:rPr>
                <w:rFonts w:ascii="Arial" w:eastAsia="Arial" w:hAnsi="Arial" w:cs="Arial"/>
                <w:color w:val="333333"/>
                <w:sz w:val="20"/>
                <w:szCs w:val="20"/>
              </w:rPr>
            </w:pPr>
            <w:r>
              <w:rPr>
                <w:rFonts w:ascii="Arial" w:eastAsia="Arial" w:hAnsi="Arial" w:cs="Arial"/>
                <w:color w:val="333333"/>
                <w:sz w:val="20"/>
                <w:szCs w:val="20"/>
              </w:rPr>
              <w:t>Registered teacher</w:t>
            </w:r>
          </w:p>
          <w:p w14:paraId="789D904E" w14:textId="77777777" w:rsidR="00CF7421" w:rsidRDefault="00CF7421" w:rsidP="00CF7421">
            <w:pPr>
              <w:numPr>
                <w:ilvl w:val="0"/>
                <w:numId w:val="1"/>
              </w:numPr>
              <w:pBdr>
                <w:top w:val="nil"/>
                <w:left w:val="nil"/>
                <w:bottom w:val="nil"/>
                <w:right w:val="nil"/>
                <w:between w:val="nil"/>
              </w:pBdr>
              <w:spacing w:after="0" w:line="240" w:lineRule="auto"/>
              <w:jc w:val="both"/>
              <w:rPr>
                <w:rFonts w:ascii="Arial" w:eastAsia="Arial" w:hAnsi="Arial" w:cs="Arial"/>
                <w:color w:val="333333"/>
                <w:sz w:val="20"/>
                <w:szCs w:val="20"/>
              </w:rPr>
            </w:pPr>
            <w:r>
              <w:rPr>
                <w:rFonts w:ascii="Arial" w:eastAsia="Arial" w:hAnsi="Arial" w:cs="Arial"/>
                <w:color w:val="333333"/>
                <w:sz w:val="20"/>
                <w:szCs w:val="20"/>
              </w:rPr>
              <w:t>Employment or other work which is concerned with the provision care services to vulnerable adults and where the worker has access to such adults in the course of his/her duties</w:t>
            </w:r>
          </w:p>
          <w:p w14:paraId="4FB5F779" w14:textId="77777777" w:rsidR="00CF7421" w:rsidRDefault="00CF7421" w:rsidP="00CF7421">
            <w:pPr>
              <w:numPr>
                <w:ilvl w:val="0"/>
                <w:numId w:val="1"/>
              </w:numPr>
              <w:pBdr>
                <w:top w:val="nil"/>
                <w:left w:val="nil"/>
                <w:bottom w:val="nil"/>
                <w:right w:val="nil"/>
                <w:between w:val="nil"/>
              </w:pBdr>
              <w:spacing w:after="0" w:line="240" w:lineRule="auto"/>
              <w:jc w:val="both"/>
              <w:rPr>
                <w:rFonts w:ascii="Arial" w:eastAsia="Arial" w:hAnsi="Arial" w:cs="Arial"/>
                <w:color w:val="333333"/>
                <w:sz w:val="20"/>
                <w:szCs w:val="20"/>
              </w:rPr>
            </w:pPr>
            <w:r>
              <w:rPr>
                <w:rFonts w:ascii="Arial" w:eastAsia="Arial" w:hAnsi="Arial" w:cs="Arial"/>
                <w:color w:val="333333"/>
                <w:sz w:val="20"/>
                <w:szCs w:val="20"/>
              </w:rPr>
              <w:t>Work in a ‘regulated position’ (covers wide range of jobs involving or in connection with children or vulnerable adults and work at establishments where these groups are present) or work in a further education institution where normal duties involve regular contact with persons under 18 years.</w:t>
            </w:r>
          </w:p>
          <w:p w14:paraId="12E3AF75" w14:textId="77777777" w:rsidR="00CF7421" w:rsidRDefault="00CF7421" w:rsidP="00CF7421">
            <w:pPr>
              <w:numPr>
                <w:ilvl w:val="0"/>
                <w:numId w:val="1"/>
              </w:numPr>
              <w:pBdr>
                <w:top w:val="nil"/>
                <w:left w:val="nil"/>
                <w:bottom w:val="nil"/>
                <w:right w:val="nil"/>
                <w:between w:val="nil"/>
              </w:pBdr>
              <w:spacing w:after="0" w:line="240" w:lineRule="auto"/>
              <w:jc w:val="both"/>
              <w:rPr>
                <w:rFonts w:ascii="Arial" w:eastAsia="Arial" w:hAnsi="Arial" w:cs="Arial"/>
                <w:color w:val="333333"/>
                <w:sz w:val="20"/>
                <w:szCs w:val="20"/>
              </w:rPr>
            </w:pPr>
            <w:r>
              <w:rPr>
                <w:rFonts w:ascii="Arial" w:eastAsia="Arial" w:hAnsi="Arial" w:cs="Arial"/>
                <w:color w:val="333333"/>
                <w:sz w:val="20"/>
                <w:szCs w:val="20"/>
              </w:rPr>
              <w:t>Other (employer to specify). ………………………………………………………….</w:t>
            </w:r>
          </w:p>
          <w:p w14:paraId="43CECE75"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p>
          <w:p w14:paraId="6FD325C2"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 xml:space="preserve">The above list is not exhaustive and merely refers to areas of work that may be relevant to the Company’s business.  </w:t>
            </w:r>
          </w:p>
          <w:p w14:paraId="125C79B7"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p>
          <w:p w14:paraId="00B62D16"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 xml:space="preserve">The amendments to the Exceptions Order 1975 (2013) provide that certain spent convictions and cautions are ‘protected’ and are not subject to disclosure to </w:t>
            </w:r>
            <w:proofErr w:type="gramStart"/>
            <w:r>
              <w:rPr>
                <w:rFonts w:ascii="Arial" w:eastAsia="Arial" w:hAnsi="Arial" w:cs="Arial"/>
                <w:color w:val="333333"/>
                <w:sz w:val="20"/>
                <w:szCs w:val="20"/>
              </w:rPr>
              <w:t>employers, and</w:t>
            </w:r>
            <w:proofErr w:type="gramEnd"/>
            <w:r>
              <w:rPr>
                <w:rFonts w:ascii="Arial" w:eastAsia="Arial" w:hAnsi="Arial" w:cs="Arial"/>
                <w:color w:val="333333"/>
                <w:sz w:val="20"/>
                <w:szCs w:val="20"/>
              </w:rPr>
              <w:t xml:space="preserve"> cannot be </w:t>
            </w:r>
            <w:proofErr w:type="gramStart"/>
            <w:r>
              <w:rPr>
                <w:rFonts w:ascii="Arial" w:eastAsia="Arial" w:hAnsi="Arial" w:cs="Arial"/>
                <w:color w:val="333333"/>
                <w:sz w:val="20"/>
                <w:szCs w:val="20"/>
              </w:rPr>
              <w:t>taken into account</w:t>
            </w:r>
            <w:proofErr w:type="gramEnd"/>
            <w:r>
              <w:rPr>
                <w:rFonts w:ascii="Arial" w:eastAsia="Arial" w:hAnsi="Arial" w:cs="Arial"/>
                <w:color w:val="333333"/>
                <w:sz w:val="20"/>
                <w:szCs w:val="20"/>
              </w:rPr>
              <w:t>.  Guidance and criteria on the filtering of these cautions and convictions can be found at the Disclosure and Barring website</w:t>
            </w:r>
          </w:p>
          <w:p w14:paraId="67EC6308"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p>
          <w:p w14:paraId="72A01307" w14:textId="77777777" w:rsidR="00CF7421" w:rsidRDefault="00CF7421" w:rsidP="00CF7421">
            <w:p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Any information given will be treated confidentially and only considered in relation to the post for which you are applying.</w:t>
            </w:r>
          </w:p>
        </w:tc>
      </w:tr>
      <w:tr w:rsidR="00CF7421" w14:paraId="376E81B3" w14:textId="77777777" w:rsidTr="00CF7421">
        <w:tc>
          <w:tcPr>
            <w:tcW w:w="10456" w:type="dxa"/>
            <w:gridSpan w:val="3"/>
          </w:tcPr>
          <w:p w14:paraId="6090AED2" w14:textId="77777777" w:rsidR="00CF7421" w:rsidRDefault="00CF7421" w:rsidP="00CF7421">
            <w:pPr>
              <w:pBdr>
                <w:top w:val="nil"/>
                <w:left w:val="nil"/>
                <w:bottom w:val="nil"/>
                <w:right w:val="nil"/>
                <w:between w:val="nil"/>
              </w:pBdr>
              <w:rPr>
                <w:rFonts w:ascii="Arial" w:eastAsia="Arial" w:hAnsi="Arial" w:cs="Arial"/>
                <w:color w:val="FF0000"/>
                <w:sz w:val="20"/>
                <w:szCs w:val="20"/>
              </w:rPr>
            </w:pPr>
            <w:r>
              <w:rPr>
                <w:rFonts w:ascii="Arial" w:eastAsia="Arial" w:hAnsi="Arial" w:cs="Arial"/>
                <w:color w:val="333333"/>
                <w:sz w:val="20"/>
                <w:szCs w:val="20"/>
              </w:rPr>
              <w:t xml:space="preserve">Please declare (in the space below) whether you have any convictions, cautions, reprimands or final warnings that are not “protected” as defined by the Rehabilitation of Offenders Act 1974 (Exceptions) Order 1975 (as amended in 2013) by SI 2013 1198 </w:t>
            </w:r>
          </w:p>
          <w:p w14:paraId="298F98D7" w14:textId="77777777" w:rsidR="00CF7421" w:rsidRDefault="00CF7421" w:rsidP="00CF7421">
            <w:pPr>
              <w:pBdr>
                <w:top w:val="nil"/>
                <w:left w:val="nil"/>
                <w:bottom w:val="nil"/>
                <w:right w:val="nil"/>
                <w:between w:val="nil"/>
              </w:pBdr>
              <w:rPr>
                <w:rFonts w:ascii="Arial" w:eastAsia="Arial" w:hAnsi="Arial" w:cs="Arial"/>
                <w:sz w:val="20"/>
                <w:szCs w:val="20"/>
              </w:rPr>
            </w:pPr>
            <w:hyperlink r:id="rId6">
              <w:r>
                <w:rPr>
                  <w:rFonts w:ascii="Arial" w:eastAsia="Arial" w:hAnsi="Arial" w:cs="Arial"/>
                  <w:color w:val="1155CC"/>
                  <w:highlight w:val="white"/>
                  <w:u w:val="single"/>
                </w:rPr>
                <w:t>https://assets.publishing.service.gov.uk/government/uploads/system/uploads/attachment_data/file/945449/rehabilitation-of-offenders-guidance.pdf</w:t>
              </w:r>
            </w:hyperlink>
          </w:p>
          <w:p w14:paraId="04E745D4" w14:textId="77777777" w:rsidR="00CF7421" w:rsidRDefault="00CF7421" w:rsidP="00CF7421">
            <w:pPr>
              <w:pBdr>
                <w:top w:val="nil"/>
                <w:left w:val="nil"/>
                <w:bottom w:val="nil"/>
                <w:right w:val="nil"/>
                <w:between w:val="nil"/>
              </w:pBdr>
              <w:rPr>
                <w:rFonts w:ascii="Arial" w:eastAsia="Arial" w:hAnsi="Arial" w:cs="Arial"/>
                <w:color w:val="FF0000"/>
                <w:sz w:val="20"/>
                <w:szCs w:val="20"/>
              </w:rPr>
            </w:pPr>
          </w:p>
        </w:tc>
      </w:tr>
      <w:tr w:rsidR="00CF7421" w14:paraId="684CC230" w14:textId="77777777" w:rsidTr="00CF7421">
        <w:tc>
          <w:tcPr>
            <w:tcW w:w="3485" w:type="dxa"/>
            <w:shd w:val="clear" w:color="auto" w:fill="D9D9D9"/>
          </w:tcPr>
          <w:p w14:paraId="257285E6" w14:textId="77777777" w:rsidR="00CF7421" w:rsidRDefault="00CF7421" w:rsidP="00CF7421">
            <w:pPr>
              <w:jc w:val="center"/>
              <w:rPr>
                <w:rFonts w:ascii="Arial" w:eastAsia="Arial" w:hAnsi="Arial" w:cs="Arial"/>
                <w:b/>
                <w:sz w:val="20"/>
                <w:szCs w:val="20"/>
              </w:rPr>
            </w:pPr>
            <w:r>
              <w:rPr>
                <w:rFonts w:ascii="Arial" w:eastAsia="Arial" w:hAnsi="Arial" w:cs="Arial"/>
                <w:b/>
                <w:sz w:val="20"/>
                <w:szCs w:val="20"/>
              </w:rPr>
              <w:t>Date</w:t>
            </w:r>
          </w:p>
        </w:tc>
        <w:tc>
          <w:tcPr>
            <w:tcW w:w="3485" w:type="dxa"/>
            <w:shd w:val="clear" w:color="auto" w:fill="D9D9D9"/>
          </w:tcPr>
          <w:p w14:paraId="3587822D" w14:textId="77777777" w:rsidR="00CF7421" w:rsidRDefault="00CF7421" w:rsidP="00CF7421">
            <w:pPr>
              <w:jc w:val="center"/>
              <w:rPr>
                <w:rFonts w:ascii="Arial" w:eastAsia="Arial" w:hAnsi="Arial" w:cs="Arial"/>
                <w:b/>
                <w:sz w:val="20"/>
                <w:szCs w:val="20"/>
              </w:rPr>
            </w:pPr>
            <w:r>
              <w:rPr>
                <w:rFonts w:ascii="Arial" w:eastAsia="Arial" w:hAnsi="Arial" w:cs="Arial"/>
                <w:b/>
                <w:sz w:val="20"/>
                <w:szCs w:val="20"/>
              </w:rPr>
              <w:t>Offence</w:t>
            </w:r>
          </w:p>
        </w:tc>
        <w:tc>
          <w:tcPr>
            <w:tcW w:w="3486" w:type="dxa"/>
            <w:shd w:val="clear" w:color="auto" w:fill="D9D9D9"/>
          </w:tcPr>
          <w:p w14:paraId="2A99C5FA" w14:textId="77777777" w:rsidR="00CF7421" w:rsidRDefault="00CF7421" w:rsidP="00CF7421">
            <w:pPr>
              <w:jc w:val="center"/>
              <w:rPr>
                <w:rFonts w:ascii="Arial" w:eastAsia="Arial" w:hAnsi="Arial" w:cs="Arial"/>
                <w:b/>
                <w:sz w:val="20"/>
                <w:szCs w:val="20"/>
              </w:rPr>
            </w:pPr>
            <w:r>
              <w:rPr>
                <w:rFonts w:ascii="Arial" w:eastAsia="Arial" w:hAnsi="Arial" w:cs="Arial"/>
                <w:b/>
                <w:sz w:val="20"/>
                <w:szCs w:val="20"/>
              </w:rPr>
              <w:t>Sentence/ Order/ Caution</w:t>
            </w:r>
          </w:p>
        </w:tc>
      </w:tr>
      <w:tr w:rsidR="00CF7421" w14:paraId="37A231B1" w14:textId="77777777" w:rsidTr="00CF7421">
        <w:tc>
          <w:tcPr>
            <w:tcW w:w="3485" w:type="dxa"/>
          </w:tcPr>
          <w:p w14:paraId="63C29862" w14:textId="77777777" w:rsidR="00CF7421" w:rsidRDefault="00CF7421" w:rsidP="00CF7421">
            <w:pPr>
              <w:jc w:val="center"/>
              <w:rPr>
                <w:rFonts w:ascii="Arial" w:eastAsia="Arial" w:hAnsi="Arial" w:cs="Arial"/>
              </w:rPr>
            </w:pPr>
          </w:p>
        </w:tc>
        <w:tc>
          <w:tcPr>
            <w:tcW w:w="3485" w:type="dxa"/>
          </w:tcPr>
          <w:p w14:paraId="3B5CC57D" w14:textId="77777777" w:rsidR="00CF7421" w:rsidRDefault="00CF7421" w:rsidP="00CF7421">
            <w:pPr>
              <w:jc w:val="center"/>
              <w:rPr>
                <w:rFonts w:ascii="Arial" w:eastAsia="Arial" w:hAnsi="Arial" w:cs="Arial"/>
              </w:rPr>
            </w:pPr>
          </w:p>
        </w:tc>
        <w:tc>
          <w:tcPr>
            <w:tcW w:w="3486" w:type="dxa"/>
          </w:tcPr>
          <w:p w14:paraId="711116BD" w14:textId="77777777" w:rsidR="00CF7421" w:rsidRDefault="00CF7421" w:rsidP="00CF7421">
            <w:pPr>
              <w:jc w:val="center"/>
              <w:rPr>
                <w:rFonts w:ascii="Arial" w:eastAsia="Arial" w:hAnsi="Arial" w:cs="Arial"/>
              </w:rPr>
            </w:pPr>
          </w:p>
        </w:tc>
      </w:tr>
      <w:tr w:rsidR="00CF7421" w14:paraId="5A6F94D3" w14:textId="77777777" w:rsidTr="00CF7421">
        <w:tc>
          <w:tcPr>
            <w:tcW w:w="3485" w:type="dxa"/>
          </w:tcPr>
          <w:p w14:paraId="645935D4" w14:textId="77777777" w:rsidR="00CF7421" w:rsidRDefault="00CF7421" w:rsidP="00CF7421">
            <w:pPr>
              <w:jc w:val="center"/>
              <w:rPr>
                <w:rFonts w:ascii="Arial" w:eastAsia="Arial" w:hAnsi="Arial" w:cs="Arial"/>
              </w:rPr>
            </w:pPr>
          </w:p>
        </w:tc>
        <w:tc>
          <w:tcPr>
            <w:tcW w:w="3485" w:type="dxa"/>
          </w:tcPr>
          <w:p w14:paraId="4D7300BF" w14:textId="77777777" w:rsidR="00CF7421" w:rsidRDefault="00CF7421" w:rsidP="00CF7421">
            <w:pPr>
              <w:jc w:val="center"/>
              <w:rPr>
                <w:rFonts w:ascii="Arial" w:eastAsia="Arial" w:hAnsi="Arial" w:cs="Arial"/>
              </w:rPr>
            </w:pPr>
          </w:p>
        </w:tc>
        <w:tc>
          <w:tcPr>
            <w:tcW w:w="3486" w:type="dxa"/>
          </w:tcPr>
          <w:p w14:paraId="4FF08D75" w14:textId="77777777" w:rsidR="00CF7421" w:rsidRDefault="00CF7421" w:rsidP="00CF7421">
            <w:pPr>
              <w:jc w:val="center"/>
              <w:rPr>
                <w:rFonts w:ascii="Arial" w:eastAsia="Arial" w:hAnsi="Arial" w:cs="Arial"/>
              </w:rPr>
            </w:pPr>
          </w:p>
        </w:tc>
      </w:tr>
      <w:tr w:rsidR="00CF7421" w14:paraId="73495870" w14:textId="77777777" w:rsidTr="00CF7421">
        <w:tc>
          <w:tcPr>
            <w:tcW w:w="3485" w:type="dxa"/>
          </w:tcPr>
          <w:p w14:paraId="05AD3BE5" w14:textId="77777777" w:rsidR="00CF7421" w:rsidRDefault="00CF7421" w:rsidP="00CF7421">
            <w:pPr>
              <w:jc w:val="center"/>
              <w:rPr>
                <w:rFonts w:ascii="Arial" w:eastAsia="Arial" w:hAnsi="Arial" w:cs="Arial"/>
              </w:rPr>
            </w:pPr>
          </w:p>
        </w:tc>
        <w:tc>
          <w:tcPr>
            <w:tcW w:w="3485" w:type="dxa"/>
          </w:tcPr>
          <w:p w14:paraId="61DF807A" w14:textId="77777777" w:rsidR="00CF7421" w:rsidRDefault="00CF7421" w:rsidP="00CF7421">
            <w:pPr>
              <w:jc w:val="center"/>
              <w:rPr>
                <w:rFonts w:ascii="Arial" w:eastAsia="Arial" w:hAnsi="Arial" w:cs="Arial"/>
              </w:rPr>
            </w:pPr>
          </w:p>
        </w:tc>
        <w:tc>
          <w:tcPr>
            <w:tcW w:w="3486" w:type="dxa"/>
          </w:tcPr>
          <w:p w14:paraId="5650C2AD" w14:textId="77777777" w:rsidR="00CF7421" w:rsidRDefault="00CF7421" w:rsidP="00CF7421">
            <w:pPr>
              <w:jc w:val="center"/>
              <w:rPr>
                <w:rFonts w:ascii="Arial" w:eastAsia="Arial" w:hAnsi="Arial" w:cs="Arial"/>
              </w:rPr>
            </w:pPr>
          </w:p>
        </w:tc>
      </w:tr>
    </w:tbl>
    <w:p w14:paraId="057FE2F0" w14:textId="77777777" w:rsidR="00CF7421" w:rsidRDefault="00CF7421"/>
    <w:p w14:paraId="0C21F8A7" w14:textId="77777777" w:rsidR="00CF7421" w:rsidRDefault="00CF7421"/>
    <w:p w14:paraId="2F9B667A" w14:textId="77777777" w:rsidR="00CF7421" w:rsidRDefault="00CF7421"/>
    <w:tbl>
      <w:tblPr>
        <w:tblW w:w="10456"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F7421" w14:paraId="2C3037DC" w14:textId="77777777" w:rsidTr="00CF7421">
        <w:tc>
          <w:tcPr>
            <w:tcW w:w="10456" w:type="dxa"/>
            <w:shd w:val="clear" w:color="auto" w:fill="D9D9D9"/>
          </w:tcPr>
          <w:p w14:paraId="4CE299B9" w14:textId="77777777" w:rsidR="00CF7421" w:rsidRDefault="00CF7421" w:rsidP="002D7463">
            <w:pPr>
              <w:rPr>
                <w:rFonts w:ascii="Arial" w:eastAsia="Arial" w:hAnsi="Arial" w:cs="Arial"/>
                <w:b/>
              </w:rPr>
            </w:pPr>
            <w:r>
              <w:rPr>
                <w:rFonts w:ascii="Arial" w:eastAsia="Arial" w:hAnsi="Arial" w:cs="Arial"/>
                <w:b/>
              </w:rPr>
              <w:t>Statement</w:t>
            </w:r>
          </w:p>
        </w:tc>
      </w:tr>
      <w:tr w:rsidR="00CF7421" w14:paraId="212BD73C" w14:textId="77777777" w:rsidTr="00CF7421">
        <w:tc>
          <w:tcPr>
            <w:tcW w:w="10456" w:type="dxa"/>
          </w:tcPr>
          <w:p w14:paraId="50DBAABE" w14:textId="77777777" w:rsidR="00CF7421" w:rsidRDefault="00CF7421" w:rsidP="002D7463">
            <w:pPr>
              <w:pBdr>
                <w:top w:val="nil"/>
                <w:left w:val="nil"/>
                <w:bottom w:val="nil"/>
                <w:right w:val="nil"/>
                <w:between w:val="nil"/>
              </w:pBdr>
              <w:jc w:val="both"/>
              <w:rPr>
                <w:rFonts w:ascii="Arial" w:eastAsia="Arial" w:hAnsi="Arial" w:cs="Arial"/>
                <w:color w:val="333333"/>
                <w:sz w:val="20"/>
                <w:szCs w:val="20"/>
              </w:rPr>
            </w:pPr>
            <w:proofErr w:type="gramStart"/>
            <w:r>
              <w:rPr>
                <w:rFonts w:ascii="Arial" w:eastAsia="Arial" w:hAnsi="Arial" w:cs="Arial"/>
                <w:color w:val="333333"/>
                <w:sz w:val="20"/>
                <w:szCs w:val="20"/>
              </w:rPr>
              <w:t>In the event that</w:t>
            </w:r>
            <w:proofErr w:type="gramEnd"/>
            <w:r>
              <w:rPr>
                <w:rFonts w:ascii="Arial" w:eastAsia="Arial" w:hAnsi="Arial" w:cs="Arial"/>
                <w:color w:val="333333"/>
                <w:sz w:val="20"/>
                <w:szCs w:val="20"/>
              </w:rPr>
              <w:t xml:space="preserve"> you are offered the appointment it will be subject to a DBS check (enhanced), Standalone barred check, prohibition from teaching check and social media check being made before the appointment can be confirmed.  If a management position is being applied for a section 128 check will also be made. Failure to agree to such checks being made will mean that your application cannot be considered. Any information provided will be treated as strictly confidential and used only in consideration of your suitability for appointment.</w:t>
            </w:r>
          </w:p>
          <w:p w14:paraId="1632213A" w14:textId="77777777" w:rsidR="00CF7421" w:rsidRDefault="00CF7421" w:rsidP="002D7463">
            <w:pPr>
              <w:pBdr>
                <w:top w:val="nil"/>
                <w:left w:val="nil"/>
                <w:bottom w:val="nil"/>
                <w:right w:val="nil"/>
                <w:between w:val="nil"/>
              </w:pBdr>
              <w:jc w:val="both"/>
              <w:rPr>
                <w:rFonts w:ascii="Arial" w:eastAsia="Arial" w:hAnsi="Arial" w:cs="Arial"/>
                <w:color w:val="333333"/>
                <w:sz w:val="20"/>
                <w:szCs w:val="20"/>
              </w:rPr>
            </w:pPr>
          </w:p>
          <w:p w14:paraId="1C317E9F" w14:textId="77777777" w:rsidR="00CF7421" w:rsidRDefault="00CF7421" w:rsidP="002D7463">
            <w:pPr>
              <w:pBdr>
                <w:top w:val="nil"/>
                <w:left w:val="nil"/>
                <w:bottom w:val="nil"/>
                <w:right w:val="nil"/>
                <w:between w:val="nil"/>
              </w:pBdr>
              <w:jc w:val="both"/>
              <w:rPr>
                <w:rFonts w:ascii="Arial" w:eastAsia="Arial" w:hAnsi="Arial" w:cs="Arial"/>
                <w:b/>
                <w:color w:val="333333"/>
                <w:sz w:val="20"/>
                <w:szCs w:val="20"/>
              </w:rPr>
            </w:pPr>
            <w:r>
              <w:rPr>
                <w:rFonts w:ascii="Arial" w:eastAsia="Arial" w:hAnsi="Arial" w:cs="Arial"/>
                <w:b/>
                <w:color w:val="333333"/>
                <w:sz w:val="20"/>
                <w:szCs w:val="20"/>
              </w:rPr>
              <w:t>STATEMENT OF APPLICANT</w:t>
            </w:r>
          </w:p>
          <w:p w14:paraId="31D3575B" w14:textId="77777777" w:rsidR="00CF7421" w:rsidRDefault="00CF7421" w:rsidP="002D7463">
            <w:pPr>
              <w:pBdr>
                <w:top w:val="nil"/>
                <w:left w:val="nil"/>
                <w:bottom w:val="nil"/>
                <w:right w:val="nil"/>
                <w:between w:val="nil"/>
              </w:pBdr>
              <w:rPr>
                <w:rFonts w:ascii="Arial" w:eastAsia="Arial" w:hAnsi="Arial" w:cs="Arial"/>
                <w:color w:val="333333"/>
                <w:sz w:val="20"/>
                <w:szCs w:val="20"/>
              </w:rPr>
            </w:pPr>
            <w:r>
              <w:rPr>
                <w:rFonts w:ascii="Arial" w:eastAsia="Arial" w:hAnsi="Arial" w:cs="Arial"/>
                <w:color w:val="333333"/>
                <w:sz w:val="20"/>
                <w:szCs w:val="20"/>
              </w:rPr>
              <w:t>Any information I have provided above is full and accurate. I hereby agree to be the subject of a DBS check / standalone barred check, prohibition from teaching check and social media check if offered the appointment.</w:t>
            </w:r>
          </w:p>
          <w:p w14:paraId="13CAFD60" w14:textId="77777777" w:rsidR="00CF7421" w:rsidRDefault="00CF7421" w:rsidP="002D7463">
            <w:pPr>
              <w:pBdr>
                <w:top w:val="nil"/>
                <w:left w:val="nil"/>
                <w:bottom w:val="nil"/>
                <w:right w:val="nil"/>
                <w:between w:val="nil"/>
              </w:pBdr>
              <w:rPr>
                <w:rFonts w:ascii="Arial" w:eastAsia="Arial" w:hAnsi="Arial" w:cs="Arial"/>
                <w:color w:val="333333"/>
                <w:sz w:val="20"/>
                <w:szCs w:val="20"/>
              </w:rPr>
            </w:pPr>
          </w:p>
          <w:p w14:paraId="6D671201" w14:textId="77777777" w:rsidR="00CF7421" w:rsidRDefault="00CF7421" w:rsidP="002D7463">
            <w:pPr>
              <w:pBdr>
                <w:top w:val="nil"/>
                <w:left w:val="nil"/>
                <w:bottom w:val="nil"/>
                <w:right w:val="nil"/>
                <w:between w:val="nil"/>
              </w:pBdr>
              <w:rPr>
                <w:rFonts w:ascii="Arial" w:eastAsia="Arial" w:hAnsi="Arial" w:cs="Arial"/>
                <w:color w:val="333333"/>
                <w:sz w:val="20"/>
                <w:szCs w:val="20"/>
              </w:rPr>
            </w:pPr>
            <w:r>
              <w:rPr>
                <w:rFonts w:ascii="Arial" w:eastAsia="Arial" w:hAnsi="Arial" w:cs="Arial"/>
                <w:color w:val="333333"/>
                <w:sz w:val="20"/>
                <w:szCs w:val="20"/>
              </w:rPr>
              <w:t xml:space="preserve">Signed: </w:t>
            </w:r>
          </w:p>
          <w:p w14:paraId="262AB12B" w14:textId="77777777" w:rsidR="00CF7421" w:rsidRDefault="00CF7421" w:rsidP="002D7463">
            <w:pPr>
              <w:pBdr>
                <w:top w:val="nil"/>
                <w:left w:val="nil"/>
                <w:bottom w:val="nil"/>
                <w:right w:val="nil"/>
                <w:between w:val="nil"/>
              </w:pBdr>
              <w:rPr>
                <w:rFonts w:ascii="Arial" w:eastAsia="Arial" w:hAnsi="Arial" w:cs="Arial"/>
                <w:color w:val="333333"/>
                <w:sz w:val="20"/>
                <w:szCs w:val="20"/>
              </w:rPr>
            </w:pPr>
          </w:p>
          <w:p w14:paraId="4EDB7B63" w14:textId="77777777" w:rsidR="00CF7421" w:rsidRDefault="00CF7421" w:rsidP="002D7463">
            <w:pPr>
              <w:pBdr>
                <w:top w:val="nil"/>
                <w:left w:val="nil"/>
                <w:bottom w:val="nil"/>
                <w:right w:val="nil"/>
                <w:between w:val="nil"/>
              </w:pBdr>
              <w:rPr>
                <w:rFonts w:ascii="Arial" w:eastAsia="Arial" w:hAnsi="Arial" w:cs="Arial"/>
                <w:color w:val="333333"/>
                <w:sz w:val="20"/>
                <w:szCs w:val="20"/>
              </w:rPr>
            </w:pPr>
            <w:r>
              <w:rPr>
                <w:rFonts w:ascii="Arial" w:eastAsia="Arial" w:hAnsi="Arial" w:cs="Arial"/>
                <w:color w:val="333333"/>
                <w:sz w:val="20"/>
                <w:szCs w:val="20"/>
              </w:rPr>
              <w:t xml:space="preserve">Print Name: </w:t>
            </w:r>
          </w:p>
          <w:p w14:paraId="55196AB7" w14:textId="77777777" w:rsidR="00CF7421" w:rsidRDefault="00CF7421" w:rsidP="002D7463">
            <w:pPr>
              <w:pBdr>
                <w:top w:val="nil"/>
                <w:left w:val="nil"/>
                <w:bottom w:val="nil"/>
                <w:right w:val="nil"/>
                <w:between w:val="nil"/>
              </w:pBdr>
              <w:rPr>
                <w:rFonts w:ascii="Arial" w:eastAsia="Arial" w:hAnsi="Arial" w:cs="Arial"/>
                <w:color w:val="333333"/>
                <w:sz w:val="20"/>
                <w:szCs w:val="20"/>
              </w:rPr>
            </w:pPr>
          </w:p>
          <w:p w14:paraId="4B1FE1F2" w14:textId="77777777" w:rsidR="00CF7421" w:rsidRDefault="00CF7421" w:rsidP="002D7463">
            <w:pPr>
              <w:pBdr>
                <w:top w:val="nil"/>
                <w:left w:val="nil"/>
                <w:bottom w:val="nil"/>
                <w:right w:val="nil"/>
                <w:between w:val="nil"/>
              </w:pBdr>
              <w:rPr>
                <w:rFonts w:ascii="Arial" w:eastAsia="Arial" w:hAnsi="Arial" w:cs="Arial"/>
                <w:color w:val="333333"/>
                <w:sz w:val="20"/>
                <w:szCs w:val="20"/>
              </w:rPr>
            </w:pPr>
            <w:r>
              <w:rPr>
                <w:rFonts w:ascii="Arial" w:eastAsia="Arial" w:hAnsi="Arial" w:cs="Arial"/>
                <w:color w:val="333333"/>
                <w:sz w:val="20"/>
                <w:szCs w:val="20"/>
              </w:rPr>
              <w:t xml:space="preserve">Date: </w:t>
            </w:r>
          </w:p>
        </w:tc>
      </w:tr>
    </w:tbl>
    <w:p w14:paraId="499A083F" w14:textId="77777777" w:rsidR="00CF7421" w:rsidRDefault="00CF7421"/>
    <w:p w14:paraId="34CC52A7" w14:textId="77777777" w:rsidR="00CF7421" w:rsidRDefault="00CF7421"/>
    <w:p w14:paraId="106159B1" w14:textId="77777777" w:rsidR="00CF7421" w:rsidRDefault="00CF7421"/>
    <w:sectPr w:rsidR="00CF7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w:panose1 w:val="02020603050405020304"/>
    <w:charset w:val="00"/>
    <w:family w:val="roman"/>
    <w:pitch w:val="variable"/>
    <w:sig w:usb0="E0002EFF" w:usb1="C000785B" w:usb2="00000009" w:usb3="00000000" w:csb0="000001FF" w:csb1="00000000"/>
  </w:font>
  <w:font w:name="Calibri">
    <w:altName w:val="FS Sophie Light"/>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0B46"/>
    <w:multiLevelType w:val="multilevel"/>
    <w:tmpl w:val="5574C3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023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21"/>
    <w:rsid w:val="00023E54"/>
    <w:rsid w:val="00CF74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DF0B4D"/>
  <w15:chartTrackingRefBased/>
  <w15:docId w15:val="{155381C0-410E-3B49-A662-1A3E9DE6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21"/>
    <w:pPr>
      <w:spacing w:line="259" w:lineRule="auto"/>
    </w:pPr>
    <w:rPr>
      <w:rFonts w:ascii="Calibri" w:eastAsia="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CF7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421"/>
    <w:rPr>
      <w:rFonts w:eastAsiaTheme="majorEastAsia" w:cstheme="majorBidi"/>
      <w:color w:val="272727" w:themeColor="text1" w:themeTint="D8"/>
    </w:rPr>
  </w:style>
  <w:style w:type="paragraph" w:styleId="Title">
    <w:name w:val="Title"/>
    <w:basedOn w:val="Normal"/>
    <w:next w:val="Normal"/>
    <w:link w:val="TitleChar"/>
    <w:uiPriority w:val="10"/>
    <w:qFormat/>
    <w:rsid w:val="00CF7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421"/>
    <w:pPr>
      <w:spacing w:before="160"/>
      <w:jc w:val="center"/>
    </w:pPr>
    <w:rPr>
      <w:i/>
      <w:iCs/>
      <w:color w:val="404040" w:themeColor="text1" w:themeTint="BF"/>
    </w:rPr>
  </w:style>
  <w:style w:type="character" w:customStyle="1" w:styleId="QuoteChar">
    <w:name w:val="Quote Char"/>
    <w:basedOn w:val="DefaultParagraphFont"/>
    <w:link w:val="Quote"/>
    <w:uiPriority w:val="29"/>
    <w:rsid w:val="00CF7421"/>
    <w:rPr>
      <w:i/>
      <w:iCs/>
      <w:color w:val="404040" w:themeColor="text1" w:themeTint="BF"/>
    </w:rPr>
  </w:style>
  <w:style w:type="paragraph" w:styleId="ListParagraph">
    <w:name w:val="List Paragraph"/>
    <w:basedOn w:val="Normal"/>
    <w:uiPriority w:val="34"/>
    <w:qFormat/>
    <w:rsid w:val="00CF7421"/>
    <w:pPr>
      <w:ind w:left="720"/>
      <w:contextualSpacing/>
    </w:pPr>
  </w:style>
  <w:style w:type="character" w:styleId="IntenseEmphasis">
    <w:name w:val="Intense Emphasis"/>
    <w:basedOn w:val="DefaultParagraphFont"/>
    <w:uiPriority w:val="21"/>
    <w:qFormat/>
    <w:rsid w:val="00CF7421"/>
    <w:rPr>
      <w:i/>
      <w:iCs/>
      <w:color w:val="0F4761" w:themeColor="accent1" w:themeShade="BF"/>
    </w:rPr>
  </w:style>
  <w:style w:type="paragraph" w:styleId="IntenseQuote">
    <w:name w:val="Intense Quote"/>
    <w:basedOn w:val="Normal"/>
    <w:next w:val="Normal"/>
    <w:link w:val="IntenseQuoteChar"/>
    <w:uiPriority w:val="30"/>
    <w:qFormat/>
    <w:rsid w:val="00CF7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421"/>
    <w:rPr>
      <w:i/>
      <w:iCs/>
      <w:color w:val="0F4761" w:themeColor="accent1" w:themeShade="BF"/>
    </w:rPr>
  </w:style>
  <w:style w:type="character" w:styleId="IntenseReference">
    <w:name w:val="Intense Reference"/>
    <w:basedOn w:val="DefaultParagraphFont"/>
    <w:uiPriority w:val="32"/>
    <w:qFormat/>
    <w:rsid w:val="00CF7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45449/rehabilitation-of-offenders-guidance.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laura perry</cp:lastModifiedBy>
  <cp:revision>1</cp:revision>
  <dcterms:created xsi:type="dcterms:W3CDTF">2026-05-14T06:40:00Z</dcterms:created>
  <dcterms:modified xsi:type="dcterms:W3CDTF">2026-05-14T06:47:00Z</dcterms:modified>
</cp:coreProperties>
</file>