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47" w:rsidRDefault="0003563D">
      <w:pPr>
        <w:keepLines/>
        <w:ind w:right="1134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 w:cs="Arial"/>
          <w:b/>
          <w:sz w:val="22"/>
          <w:szCs w:val="22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11430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B Nobel Primary Logo Final 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647" w:rsidRDefault="00891647">
      <w:pPr>
        <w:keepLines/>
        <w:ind w:right="1134"/>
        <w:jc w:val="center"/>
        <w:rPr>
          <w:rFonts w:ascii="Arial" w:hAnsi="Arial"/>
          <w:b/>
          <w:snapToGrid w:val="0"/>
          <w:color w:val="000000"/>
          <w:sz w:val="28"/>
          <w:szCs w:val="28"/>
        </w:rPr>
      </w:pPr>
    </w:p>
    <w:p w:rsidR="00891647" w:rsidRDefault="0003563D">
      <w:pPr>
        <w:keepLines/>
        <w:ind w:right="1134"/>
        <w:jc w:val="center"/>
        <w:rPr>
          <w:rFonts w:ascii="Arial" w:hAnsi="Arial"/>
          <w:b/>
          <w:snapToGrid w:val="0"/>
          <w:color w:val="000000"/>
          <w:sz w:val="28"/>
          <w:szCs w:val="28"/>
        </w:rPr>
      </w:pPr>
      <w:r>
        <w:rPr>
          <w:rFonts w:ascii="Arial" w:hAnsi="Arial"/>
          <w:b/>
          <w:snapToGrid w:val="0"/>
          <w:color w:val="000000"/>
          <w:sz w:val="28"/>
          <w:szCs w:val="28"/>
        </w:rPr>
        <w:t xml:space="preserve">    </w:t>
      </w:r>
    </w:p>
    <w:p w:rsidR="00891647" w:rsidRDefault="00891647">
      <w:pPr>
        <w:keepLines/>
        <w:ind w:right="1134"/>
        <w:rPr>
          <w:rFonts w:ascii="Arial" w:hAnsi="Arial"/>
          <w:snapToGrid w:val="0"/>
          <w:color w:val="000000"/>
          <w:sz w:val="20"/>
        </w:rPr>
      </w:pPr>
    </w:p>
    <w:p w:rsidR="00891647" w:rsidRDefault="00891647">
      <w:pPr>
        <w:keepLines/>
        <w:ind w:right="1134"/>
        <w:rPr>
          <w:rFonts w:ascii="Arial" w:hAnsi="Arial"/>
          <w:snapToGrid w:val="0"/>
          <w:color w:val="000000"/>
          <w:sz w:val="20"/>
        </w:rPr>
      </w:pPr>
    </w:p>
    <w:p w:rsidR="00891647" w:rsidRDefault="00891647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891647" w:rsidRDefault="0003563D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szCs w:val="24"/>
          <w:lang w:eastAsia="en-GB"/>
        </w:rPr>
      </w:pPr>
      <w:r>
        <w:rPr>
          <w:rFonts w:ascii="Arial" w:hAnsi="Arial" w:cs="Arial"/>
          <w:b/>
          <w:noProof w:val="0"/>
          <w:szCs w:val="24"/>
          <w:lang w:eastAsia="en-GB"/>
        </w:rPr>
        <w:t>The PRE / RSHE Department</w:t>
      </w:r>
    </w:p>
    <w:p w:rsidR="00891647" w:rsidRDefault="00891647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szCs w:val="24"/>
          <w:lang w:eastAsia="en-GB"/>
        </w:rPr>
      </w:pPr>
    </w:p>
    <w:p w:rsidR="00891647" w:rsidRDefault="0003563D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noProof w:val="0"/>
          <w:szCs w:val="24"/>
          <w:lang w:eastAsia="en-GB"/>
        </w:rPr>
      </w:pPr>
      <w:r>
        <w:rPr>
          <w:rFonts w:ascii="Arial-BoldMT" w:hAnsi="Arial-BoldMT" w:cs="Arial-BoldMT"/>
          <w:b/>
          <w:bCs/>
          <w:noProof w:val="0"/>
          <w:szCs w:val="24"/>
          <w:lang w:eastAsia="en-GB"/>
        </w:rPr>
        <w:t>Facilities</w:t>
      </w:r>
    </w:p>
    <w:p w:rsidR="00891647" w:rsidRDefault="0089164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noProof w:val="0"/>
          <w:szCs w:val="24"/>
          <w:lang w:eastAsia="en-GB"/>
        </w:rPr>
      </w:pPr>
    </w:p>
    <w:p w:rsidR="00891647" w:rsidRDefault="0003563D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lang w:eastAsia="en-GB"/>
        </w:rPr>
      </w:pPr>
      <w:r>
        <w:rPr>
          <w:rFonts w:ascii="Arial" w:hAnsi="Arial" w:cs="Arial"/>
          <w:noProof w:val="0"/>
          <w:lang w:eastAsia="en-GB"/>
        </w:rPr>
        <w:t xml:space="preserve">The school was rebuilt in 2012 and as a result the department has access to excellent classrooms and facilities for students to </w:t>
      </w:r>
      <w:r>
        <w:rPr>
          <w:rFonts w:ascii="Arial" w:hAnsi="Arial" w:cs="Arial"/>
          <w:noProof w:val="0"/>
          <w:lang w:eastAsia="en-GB"/>
        </w:rPr>
        <w:t>learn.</w:t>
      </w:r>
      <w:r>
        <w:rPr>
          <w:rFonts w:ascii="Arial" w:hAnsi="Arial" w:cs="Arial"/>
          <w:noProof w:val="0"/>
          <w:szCs w:val="24"/>
          <w:lang w:eastAsia="en-GB"/>
        </w:rPr>
        <w:t xml:space="preserve"> We have 3 designated PRE classrooms situated in the humanities faculty.</w:t>
      </w:r>
      <w:r>
        <w:rPr>
          <w:rFonts w:ascii="Arial" w:hAnsi="Arial" w:cs="Arial"/>
          <w:noProof w:val="0"/>
          <w:szCs w:val="24"/>
          <w:lang w:eastAsia="en-GB"/>
        </w:rPr>
        <w:t xml:space="preserve"> We have a healthy department budget to contribute towards new teaching and learning resources and are able to bid for additional resource funding from our</w:t>
      </w:r>
      <w:r>
        <w:rPr>
          <w:rFonts w:ascii="Arial" w:hAnsi="Arial" w:cs="Arial"/>
          <w:noProof w:val="0"/>
          <w:szCs w:val="24"/>
          <w:lang w:eastAsia="en-GB"/>
        </w:rPr>
        <w:t xml:space="preserve"> Friends of Nobel Parental group. </w:t>
      </w:r>
    </w:p>
    <w:p w:rsidR="00891647" w:rsidRDefault="0089164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noProof w:val="0"/>
          <w:szCs w:val="24"/>
          <w:highlight w:val="yellow"/>
          <w:lang w:eastAsia="en-GB"/>
        </w:rPr>
      </w:pPr>
    </w:p>
    <w:p w:rsidR="00891647" w:rsidRDefault="0089164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noProof w:val="0"/>
          <w:szCs w:val="24"/>
          <w:highlight w:val="yellow"/>
          <w:lang w:eastAsia="en-GB"/>
        </w:rPr>
      </w:pPr>
    </w:p>
    <w:p w:rsidR="00891647" w:rsidRDefault="000356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Cs w:val="24"/>
          <w:lang w:eastAsia="en-GB"/>
        </w:rPr>
      </w:pPr>
      <w:r>
        <w:rPr>
          <w:rFonts w:ascii="Arial" w:hAnsi="Arial" w:cs="Arial"/>
          <w:b/>
          <w:bCs/>
          <w:noProof w:val="0"/>
          <w:szCs w:val="24"/>
          <w:lang w:eastAsia="en-GB"/>
        </w:rPr>
        <w:t>Staffing Structure</w:t>
      </w:r>
    </w:p>
    <w:p w:rsidR="00891647" w:rsidRDefault="008916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 w:val="22"/>
          <w:szCs w:val="22"/>
          <w:lang w:eastAsia="en-GB"/>
        </w:rPr>
      </w:pPr>
    </w:p>
    <w:p w:rsidR="00891647" w:rsidRDefault="000356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Cs w:val="24"/>
          <w:lang w:eastAsia="en-GB"/>
        </w:rPr>
      </w:pPr>
      <w:r>
        <w:rPr>
          <w:rFonts w:ascii="Arial" w:hAnsi="Arial" w:cs="Arial"/>
          <w:noProof w:val="0"/>
          <w:sz w:val="22"/>
          <w:szCs w:val="22"/>
          <w:lang w:eastAsia="en-GB"/>
        </w:rPr>
        <w:t>The PRE department currently has 5 qualified PRE specialists (3 full time and 2</w:t>
      </w:r>
      <w:r>
        <w:rPr>
          <w:rFonts w:ascii="Arial" w:hAnsi="Arial" w:cs="Arial"/>
          <w:noProof w:val="0"/>
          <w:sz w:val="22"/>
          <w:szCs w:val="22"/>
          <w:lang w:eastAsia="en-GB"/>
        </w:rPr>
        <w:t xml:space="preserve"> part time), including the Head of Department, who deliver the P</w:t>
      </w:r>
      <w:r>
        <w:rPr>
          <w:rFonts w:ascii="Arial" w:hAnsi="Arial" w:cs="Arial"/>
          <w:noProof w:val="0"/>
          <w:sz w:val="22"/>
          <w:szCs w:val="22"/>
          <w:lang w:eastAsia="en-GB"/>
        </w:rPr>
        <w:t xml:space="preserve">RE and RSHE (Relationships, Sex and Heath Education) curriculum. </w:t>
      </w:r>
      <w:r>
        <w:rPr>
          <w:rFonts w:ascii="Arial" w:hAnsi="Arial" w:cs="Arial"/>
          <w:noProof w:val="0"/>
          <w:szCs w:val="24"/>
          <w:lang w:eastAsia="en-GB"/>
        </w:rPr>
        <w:t>The department works closely with our History and</w:t>
      </w:r>
      <w:r>
        <w:rPr>
          <w:rFonts w:ascii="Arial" w:hAnsi="Arial" w:cs="Arial"/>
          <w:noProof w:val="0"/>
          <w:szCs w:val="24"/>
          <w:lang w:eastAsia="en-GB"/>
        </w:rPr>
        <w:t xml:space="preserve"> Geography departments sharing an office within the faculty.</w:t>
      </w:r>
    </w:p>
    <w:p w:rsidR="00891647" w:rsidRDefault="008916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 w:val="22"/>
          <w:szCs w:val="22"/>
          <w:highlight w:val="yellow"/>
          <w:lang w:eastAsia="en-GB"/>
        </w:rPr>
      </w:pPr>
    </w:p>
    <w:p w:rsidR="00891647" w:rsidRDefault="008916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 w:val="22"/>
          <w:szCs w:val="22"/>
          <w:highlight w:val="yellow"/>
          <w:lang w:eastAsia="en-GB"/>
        </w:rPr>
      </w:pPr>
    </w:p>
    <w:p w:rsidR="00891647" w:rsidRDefault="0089164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noProof w:val="0"/>
          <w:szCs w:val="24"/>
          <w:lang w:eastAsia="en-GB"/>
        </w:rPr>
      </w:pPr>
    </w:p>
    <w:p w:rsidR="00891647" w:rsidRDefault="0003563D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noProof w:val="0"/>
          <w:szCs w:val="24"/>
          <w:lang w:eastAsia="en-GB"/>
        </w:rPr>
      </w:pPr>
      <w:r>
        <w:rPr>
          <w:rFonts w:ascii="Arial-BoldMT" w:hAnsi="Arial-BoldMT" w:cs="Arial-BoldMT"/>
          <w:b/>
          <w:bCs/>
          <w:noProof w:val="0"/>
          <w:szCs w:val="24"/>
          <w:lang w:eastAsia="en-GB"/>
        </w:rPr>
        <w:lastRenderedPageBreak/>
        <w:t>PRE &amp; RSHE Curriculum</w:t>
      </w:r>
    </w:p>
    <w:p w:rsidR="00891647" w:rsidRDefault="0089164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noProof w:val="0"/>
          <w:szCs w:val="24"/>
          <w:lang w:eastAsia="en-GB"/>
        </w:rPr>
      </w:pPr>
    </w:p>
    <w:p w:rsidR="00891647" w:rsidRDefault="0003563D">
      <w:p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szCs w:val="24"/>
          <w:lang w:eastAsia="en-GB"/>
        </w:rPr>
      </w:pPr>
      <w:r>
        <w:rPr>
          <w:rFonts w:ascii="Arial" w:hAnsi="Arial" w:cs="Arial"/>
          <w:bCs/>
          <w:noProof w:val="0"/>
          <w:szCs w:val="24"/>
          <w:lang w:eastAsia="en-GB"/>
        </w:rPr>
        <w:t>PRE and RSHE are held in high regard at Nobel. All our students study</w:t>
      </w:r>
      <w:r>
        <w:rPr>
          <w:rFonts w:ascii="Arial" w:hAnsi="Arial" w:cs="Arial"/>
          <w:b/>
          <w:bCs/>
          <w:noProof w:val="0"/>
          <w:szCs w:val="24"/>
          <w:lang w:eastAsia="en-GB"/>
        </w:rPr>
        <w:t xml:space="preserve"> </w:t>
      </w:r>
      <w:r>
        <w:rPr>
          <w:rFonts w:ascii="Arial" w:hAnsi="Arial" w:cs="Arial"/>
          <w:bCs/>
          <w:noProof w:val="0"/>
          <w:szCs w:val="24"/>
          <w:lang w:eastAsia="en-GB"/>
        </w:rPr>
        <w:t>both subjects from KS3-5.</w:t>
      </w:r>
    </w:p>
    <w:p w:rsidR="00891647" w:rsidRDefault="00891647">
      <w:p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szCs w:val="24"/>
          <w:highlight w:val="yellow"/>
          <w:lang w:eastAsia="en-GB"/>
        </w:rPr>
      </w:pPr>
    </w:p>
    <w:p w:rsidR="00891647" w:rsidRDefault="0003563D">
      <w:p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szCs w:val="24"/>
          <w:lang w:eastAsia="en-GB"/>
        </w:rPr>
      </w:pPr>
      <w:r>
        <w:rPr>
          <w:rFonts w:ascii="Arial" w:hAnsi="Arial" w:cs="Arial"/>
          <w:bCs/>
          <w:noProof w:val="0"/>
          <w:szCs w:val="24"/>
          <w:lang w:eastAsia="en-GB"/>
        </w:rPr>
        <w:t xml:space="preserve">RSHE was linked to PRE several years ago and class teachers now have 3 </w:t>
      </w:r>
      <w:r>
        <w:rPr>
          <w:rFonts w:ascii="Arial" w:hAnsi="Arial" w:cs="Arial"/>
          <w:bCs/>
          <w:noProof w:val="0"/>
          <w:szCs w:val="24"/>
          <w:lang w:eastAsia="en-GB"/>
        </w:rPr>
        <w:t>hours a fortnight with each class at KS3 and 5 hours a fortnight at KS4</w:t>
      </w:r>
      <w:r>
        <w:rPr>
          <w:rFonts w:ascii="Arial" w:hAnsi="Arial" w:cs="Arial"/>
          <w:bCs/>
          <w:noProof w:val="0"/>
          <w:szCs w:val="24"/>
          <w:lang w:eastAsia="en-GB"/>
        </w:rPr>
        <w:t xml:space="preserve"> to deliver both subjects. </w:t>
      </w:r>
    </w:p>
    <w:p w:rsidR="0003563D" w:rsidRDefault="0003563D">
      <w:p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szCs w:val="24"/>
          <w:lang w:eastAsia="en-GB"/>
        </w:rPr>
      </w:pPr>
    </w:p>
    <w:p w:rsidR="00891647" w:rsidRPr="0003563D" w:rsidRDefault="0003563D" w:rsidP="0003563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At KS3</w:t>
      </w:r>
      <w:r>
        <w:rPr>
          <w:rFonts w:ascii="Arial" w:hAnsi="Arial" w:cs="Arial"/>
          <w:bCs/>
          <w:szCs w:val="24"/>
        </w:rPr>
        <w:t xml:space="preserve"> students follow the Herts Agreed Syllabu</w:t>
      </w:r>
      <w:r>
        <w:rPr>
          <w:rFonts w:ascii="Arial" w:hAnsi="Arial" w:cs="Arial"/>
          <w:bCs/>
          <w:szCs w:val="24"/>
        </w:rPr>
        <w:t xml:space="preserve">s for PRE with </w:t>
      </w:r>
      <w:r w:rsidRPr="0003563D">
        <w:rPr>
          <w:rFonts w:ascii="Arial" w:hAnsi="Arial" w:cs="Arial"/>
          <w:bCs/>
          <w:szCs w:val="24"/>
        </w:rPr>
        <w:t xml:space="preserve">units planned to ensure criteria from the Syllabus is adhered to. Students have one hour a fortnight of RSHE that is in line with the PSHE association’s suggested model of curriculum.  </w:t>
      </w:r>
    </w:p>
    <w:p w:rsidR="00891647" w:rsidRDefault="0003563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 the summer term of y</w:t>
      </w:r>
      <w:r>
        <w:rPr>
          <w:rFonts w:ascii="Arial" w:hAnsi="Arial" w:cs="Arial"/>
          <w:bCs/>
          <w:szCs w:val="24"/>
        </w:rPr>
        <w:t>ear 9 all students begin the AQA GCSE Religious Stu</w:t>
      </w:r>
      <w:r>
        <w:rPr>
          <w:rFonts w:ascii="Arial" w:hAnsi="Arial" w:cs="Arial"/>
          <w:bCs/>
          <w:szCs w:val="24"/>
        </w:rPr>
        <w:t xml:space="preserve">dies </w:t>
      </w:r>
      <w:proofErr w:type="gramStart"/>
      <w:r>
        <w:rPr>
          <w:rFonts w:ascii="Arial" w:hAnsi="Arial" w:cs="Arial"/>
          <w:bCs/>
          <w:szCs w:val="24"/>
        </w:rPr>
        <w:t>A</w:t>
      </w:r>
      <w:proofErr w:type="gramEnd"/>
      <w:r>
        <w:rPr>
          <w:rFonts w:ascii="Arial" w:hAnsi="Arial" w:cs="Arial"/>
          <w:bCs/>
          <w:szCs w:val="24"/>
        </w:rPr>
        <w:t xml:space="preserve"> course (Christianity and Islam). They cover the Christianity unit and continue to have one lesson a fortnight of RSHE throughout the year. </w:t>
      </w:r>
    </w:p>
    <w:p w:rsidR="0003563D" w:rsidRDefault="0003563D" w:rsidP="004321F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03563D">
        <w:rPr>
          <w:rFonts w:ascii="Arial" w:hAnsi="Arial" w:cs="Arial"/>
          <w:bCs/>
          <w:szCs w:val="24"/>
        </w:rPr>
        <w:t>In Years 10 and 11 all</w:t>
      </w:r>
      <w:r w:rsidRPr="0003563D">
        <w:rPr>
          <w:rFonts w:ascii="Arial" w:hAnsi="Arial" w:cs="Arial"/>
          <w:bCs/>
          <w:szCs w:val="24"/>
        </w:rPr>
        <w:t xml:space="preserve"> students continue with the AQA GCSE course and sit the full GCSE exam. F</w:t>
      </w:r>
      <w:r w:rsidRPr="0003563D">
        <w:rPr>
          <w:rFonts w:ascii="Arial" w:hAnsi="Arial" w:cs="Arial"/>
          <w:bCs/>
          <w:szCs w:val="24"/>
        </w:rPr>
        <w:t xml:space="preserve">rom September this will increase to the full cohort studying for the GCSE. </w:t>
      </w:r>
    </w:p>
    <w:p w:rsidR="00891647" w:rsidRPr="0003563D" w:rsidRDefault="0003563D" w:rsidP="004321F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At KS5 we have 26</w:t>
      </w:r>
      <w:r w:rsidRPr="0003563D">
        <w:rPr>
          <w:rFonts w:ascii="Arial" w:hAnsi="Arial" w:cs="Arial"/>
          <w:bCs/>
          <w:szCs w:val="24"/>
        </w:rPr>
        <w:t xml:space="preserve"> stu</w:t>
      </w:r>
      <w:r w:rsidRPr="0003563D">
        <w:rPr>
          <w:rFonts w:ascii="Arial" w:hAnsi="Arial" w:cs="Arial"/>
          <w:bCs/>
          <w:szCs w:val="24"/>
        </w:rPr>
        <w:t xml:space="preserve">dents taking the OCR </w:t>
      </w:r>
      <w:proofErr w:type="gramStart"/>
      <w:r w:rsidRPr="0003563D">
        <w:rPr>
          <w:rFonts w:ascii="Arial" w:hAnsi="Arial" w:cs="Arial"/>
          <w:bCs/>
          <w:szCs w:val="24"/>
        </w:rPr>
        <w:t>A</w:t>
      </w:r>
      <w:proofErr w:type="gramEnd"/>
      <w:r w:rsidRPr="0003563D">
        <w:rPr>
          <w:rFonts w:ascii="Arial" w:hAnsi="Arial" w:cs="Arial"/>
          <w:bCs/>
          <w:szCs w:val="24"/>
        </w:rPr>
        <w:t xml:space="preserve"> Level in Religious Studies (Philosophy, Ethics and Development in Christian thought). The department have always been very successful at </w:t>
      </w:r>
      <w:proofErr w:type="gramStart"/>
      <w:r w:rsidRPr="0003563D">
        <w:rPr>
          <w:rFonts w:ascii="Arial" w:hAnsi="Arial" w:cs="Arial"/>
          <w:bCs/>
          <w:szCs w:val="24"/>
        </w:rPr>
        <w:t>A</w:t>
      </w:r>
      <w:proofErr w:type="gramEnd"/>
      <w:r w:rsidRPr="0003563D">
        <w:rPr>
          <w:rFonts w:ascii="Arial" w:hAnsi="Arial" w:cs="Arial"/>
          <w:bCs/>
          <w:szCs w:val="24"/>
        </w:rPr>
        <w:t xml:space="preserve"> level and we would be looking for the successful candidate to be willing to deliver part of th</w:t>
      </w:r>
      <w:r w:rsidRPr="0003563D">
        <w:rPr>
          <w:rFonts w:ascii="Arial" w:hAnsi="Arial" w:cs="Arial"/>
          <w:bCs/>
          <w:szCs w:val="24"/>
        </w:rPr>
        <w:t xml:space="preserve">is course. </w:t>
      </w:r>
    </w:p>
    <w:p w:rsidR="00891647" w:rsidRDefault="0089164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noProof w:val="0"/>
          <w:szCs w:val="24"/>
          <w:lang w:eastAsia="en-GB"/>
        </w:rPr>
      </w:pPr>
    </w:p>
    <w:p w:rsidR="0003563D" w:rsidRDefault="0003563D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noProof w:val="0"/>
          <w:szCs w:val="24"/>
          <w:lang w:eastAsia="en-GB"/>
        </w:rPr>
      </w:pPr>
    </w:p>
    <w:p w:rsidR="00891647" w:rsidRDefault="0003563D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noProof w:val="0"/>
          <w:szCs w:val="24"/>
          <w:lang w:eastAsia="en-GB"/>
        </w:rPr>
      </w:pPr>
      <w:r>
        <w:rPr>
          <w:rFonts w:ascii="Arial-BoldMT" w:hAnsi="Arial-BoldMT" w:cs="Arial-BoldMT"/>
          <w:b/>
          <w:bCs/>
          <w:noProof w:val="0"/>
          <w:szCs w:val="24"/>
          <w:lang w:eastAsia="en-GB"/>
        </w:rPr>
        <w:lastRenderedPageBreak/>
        <w:t xml:space="preserve">Extra-Curricular </w:t>
      </w:r>
    </w:p>
    <w:p w:rsidR="00891647" w:rsidRDefault="0089164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noProof w:val="0"/>
          <w:szCs w:val="24"/>
          <w:lang w:eastAsia="en-GB"/>
        </w:rPr>
      </w:pPr>
    </w:p>
    <w:p w:rsidR="00891647" w:rsidRDefault="0003563D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noProof w:val="0"/>
          <w:szCs w:val="24"/>
          <w:lang w:eastAsia="en-GB"/>
        </w:rPr>
      </w:pPr>
      <w:r>
        <w:rPr>
          <w:rFonts w:ascii="Arial-BoldMT" w:hAnsi="Arial-BoldMT" w:cs="Arial-BoldMT"/>
          <w:bCs/>
          <w:noProof w:val="0"/>
          <w:szCs w:val="24"/>
          <w:lang w:eastAsia="en-GB"/>
        </w:rPr>
        <w:t xml:space="preserve">Currently the department run three trips: In Year 7 we are organising a new trip to places of worship as part of their study into Abrahamic Religions; In Year 8 students are taken to </w:t>
      </w:r>
      <w:proofErr w:type="spellStart"/>
      <w:r>
        <w:rPr>
          <w:rFonts w:ascii="Arial-BoldMT" w:hAnsi="Arial-BoldMT" w:cs="Arial-BoldMT"/>
          <w:bCs/>
          <w:noProof w:val="0"/>
          <w:szCs w:val="24"/>
          <w:lang w:eastAsia="en-GB"/>
        </w:rPr>
        <w:t>Bhaktivedanta</w:t>
      </w:r>
      <w:proofErr w:type="spellEnd"/>
      <w:r>
        <w:rPr>
          <w:rFonts w:ascii="Arial-BoldMT" w:hAnsi="Arial-BoldMT" w:cs="Arial-BoldMT"/>
          <w:bCs/>
          <w:noProof w:val="0"/>
          <w:szCs w:val="24"/>
          <w:lang w:eastAsia="en-GB"/>
        </w:rPr>
        <w:t xml:space="preserve"> Manor near Watford and; In Year 13 we take students to an exam skills conference run by candle conferences and/or buy into their online revision webinars that run in the Spring terms after school. At KS5 we coordinate a 6</w:t>
      </w:r>
      <w:r>
        <w:rPr>
          <w:rFonts w:ascii="Arial-BoldMT" w:hAnsi="Arial-BoldMT" w:cs="Arial-BoldMT"/>
          <w:bCs/>
          <w:noProof w:val="0"/>
          <w:szCs w:val="24"/>
          <w:vertAlign w:val="superscript"/>
          <w:lang w:eastAsia="en-GB"/>
        </w:rPr>
        <w:t>th</w:t>
      </w:r>
      <w:r>
        <w:rPr>
          <w:rFonts w:ascii="Arial-BoldMT" w:hAnsi="Arial-BoldMT" w:cs="Arial-BoldMT"/>
          <w:bCs/>
          <w:noProof w:val="0"/>
          <w:szCs w:val="24"/>
          <w:lang w:eastAsia="en-GB"/>
        </w:rPr>
        <w:t xml:space="preserve"> form charity project that form </w:t>
      </w:r>
      <w:r>
        <w:rPr>
          <w:rFonts w:ascii="Arial-BoldMT" w:hAnsi="Arial-BoldMT" w:cs="Arial-BoldMT"/>
          <w:bCs/>
          <w:noProof w:val="0"/>
          <w:szCs w:val="24"/>
          <w:lang w:eastAsia="en-GB"/>
        </w:rPr>
        <w:t>groups work on throughout the year to support charities of their choice. We run a Philosophy film club for students at lunch times which is very well attended. We are looking to develop the extra-curricular opportunities that the department offer, in parti</w:t>
      </w:r>
      <w:r>
        <w:rPr>
          <w:rFonts w:ascii="Arial-BoldMT" w:hAnsi="Arial-BoldMT" w:cs="Arial-BoldMT"/>
          <w:bCs/>
          <w:noProof w:val="0"/>
          <w:szCs w:val="24"/>
          <w:lang w:eastAsia="en-GB"/>
        </w:rPr>
        <w:t>cular clubs that link to PRE &amp; RSHE and a range of guest speakers to engage our students.</w:t>
      </w:r>
    </w:p>
    <w:p w:rsidR="00891647" w:rsidRDefault="00891647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noProof w:val="0"/>
          <w:szCs w:val="24"/>
          <w:lang w:eastAsia="en-GB"/>
        </w:rPr>
      </w:pPr>
    </w:p>
    <w:p w:rsidR="00891647" w:rsidRDefault="0003563D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noProof w:val="0"/>
          <w:szCs w:val="24"/>
          <w:lang w:eastAsia="en-GB"/>
        </w:rPr>
      </w:pPr>
      <w:r>
        <w:rPr>
          <w:rFonts w:ascii="Arial-BoldMT" w:hAnsi="Arial-BoldMT" w:cs="Arial-BoldMT"/>
          <w:b/>
          <w:bCs/>
          <w:noProof w:val="0"/>
          <w:szCs w:val="24"/>
          <w:lang w:eastAsia="en-GB"/>
        </w:rPr>
        <w:t>Support</w:t>
      </w:r>
    </w:p>
    <w:p w:rsidR="00891647" w:rsidRDefault="0003563D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lang w:eastAsia="en-GB"/>
        </w:rPr>
      </w:pPr>
      <w:r>
        <w:rPr>
          <w:rFonts w:ascii="Arial" w:hAnsi="Arial" w:cs="Arial"/>
          <w:noProof w:val="0"/>
          <w:lang w:eastAsia="en-GB"/>
        </w:rPr>
        <w:t>The school and the faculty have an excellent reputation for supporting teaching and learning. We are the School Direct Lead School for the Stevenage Schools’</w:t>
      </w:r>
      <w:r>
        <w:rPr>
          <w:rFonts w:ascii="Arial" w:hAnsi="Arial" w:cs="Arial"/>
          <w:noProof w:val="0"/>
          <w:lang w:eastAsia="en-GB"/>
        </w:rPr>
        <w:t xml:space="preserve"> Partnership and we train teachers from many different organisations including the University of Hertfordshire and University of Bedfordshire. We are also a strategic partner within both the Round Diamond School Teaching Alliance and the North Herts Teachi</w:t>
      </w:r>
      <w:r>
        <w:rPr>
          <w:rFonts w:ascii="Arial" w:hAnsi="Arial" w:cs="Arial"/>
          <w:noProof w:val="0"/>
          <w:lang w:eastAsia="en-GB"/>
        </w:rPr>
        <w:t>ng Alliance.</w:t>
      </w:r>
    </w:p>
    <w:p w:rsidR="00891647" w:rsidRDefault="00891647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noProof w:val="0"/>
          <w:szCs w:val="24"/>
          <w:lang w:eastAsia="en-GB"/>
        </w:rPr>
      </w:pPr>
    </w:p>
    <w:p w:rsidR="00891647" w:rsidRPr="0003563D" w:rsidRDefault="0003563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B Nobel Primary Logo Final 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</w:rPr>
        <w:t>Being an NQT at Nobel School</w:t>
      </w:r>
    </w:p>
    <w:p w:rsidR="00891647" w:rsidRDefault="00891647">
      <w:pPr>
        <w:rPr>
          <w:rFonts w:ascii="Arial" w:hAnsi="Arial" w:cs="Arial"/>
          <w:b/>
          <w:szCs w:val="24"/>
        </w:rPr>
      </w:pPr>
    </w:p>
    <w:p w:rsidR="00891647" w:rsidRDefault="0003563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you embark on your teaching career as an NQT, you will have a comprehensive induction programme of monitoring and support personalised to meet your professional development needs and to help you </w:t>
      </w:r>
      <w:r>
        <w:rPr>
          <w:rFonts w:ascii="Arial" w:hAnsi="Arial" w:cs="Arial"/>
          <w:szCs w:val="24"/>
        </w:rPr>
        <w:t>meet the requirements for satisfactory completion of the induction period.</w:t>
      </w:r>
    </w:p>
    <w:p w:rsidR="00891647" w:rsidRDefault="00891647">
      <w:pPr>
        <w:rPr>
          <w:rFonts w:ascii="Arial" w:hAnsi="Arial" w:cs="Arial"/>
          <w:szCs w:val="24"/>
        </w:rPr>
      </w:pPr>
    </w:p>
    <w:p w:rsidR="00891647" w:rsidRDefault="00891647">
      <w:pPr>
        <w:rPr>
          <w:rFonts w:ascii="Arial" w:hAnsi="Arial" w:cs="Arial"/>
          <w:szCs w:val="24"/>
        </w:rPr>
      </w:pPr>
    </w:p>
    <w:p w:rsidR="00891647" w:rsidRDefault="0003563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All NQTs can expect:</w:t>
      </w:r>
    </w:p>
    <w:p w:rsidR="00891647" w:rsidRDefault="00891647">
      <w:pPr>
        <w:rPr>
          <w:rFonts w:ascii="Arial" w:hAnsi="Arial" w:cs="Arial"/>
          <w:b/>
          <w:szCs w:val="24"/>
        </w:rPr>
      </w:pPr>
    </w:p>
    <w:p w:rsidR="00891647" w:rsidRDefault="0003563D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noProof w:val="0"/>
          <w:szCs w:val="24"/>
          <w:lang w:eastAsia="en-GB"/>
        </w:rPr>
      </w:pPr>
      <w:r>
        <w:rPr>
          <w:rFonts w:ascii="Arial" w:hAnsi="Arial" w:cs="Arial"/>
          <w:noProof w:val="0"/>
          <w:szCs w:val="24"/>
          <w:lang w:eastAsia="en-GB"/>
        </w:rPr>
        <w:t>Support and guidance from a subject mentor.</w:t>
      </w:r>
    </w:p>
    <w:p w:rsidR="00891647" w:rsidRDefault="0003563D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noProof w:val="0"/>
          <w:szCs w:val="24"/>
          <w:lang w:eastAsia="en-GB"/>
        </w:rPr>
      </w:pPr>
      <w:r>
        <w:rPr>
          <w:rFonts w:ascii="Arial" w:hAnsi="Arial" w:cs="Arial"/>
          <w:noProof w:val="0"/>
          <w:szCs w:val="24"/>
          <w:lang w:eastAsia="en-GB"/>
        </w:rPr>
        <w:t>Weekly timetabled mentor meetings.</w:t>
      </w:r>
    </w:p>
    <w:p w:rsidR="00891647" w:rsidRDefault="0003563D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noProof w:val="0"/>
          <w:szCs w:val="24"/>
          <w:lang w:eastAsia="en-GB"/>
        </w:rPr>
      </w:pPr>
      <w:r>
        <w:rPr>
          <w:rFonts w:ascii="Arial" w:hAnsi="Arial" w:cs="Arial"/>
          <w:noProof w:val="0"/>
          <w:szCs w:val="24"/>
          <w:lang w:eastAsia="en-GB"/>
        </w:rPr>
        <w:t>Regular observation and prompt and constructive feedback.</w:t>
      </w:r>
    </w:p>
    <w:p w:rsidR="00891647" w:rsidRDefault="0003563D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noProof w:val="0"/>
          <w:szCs w:val="24"/>
          <w:lang w:eastAsia="en-GB"/>
        </w:rPr>
      </w:pPr>
      <w:r>
        <w:rPr>
          <w:rFonts w:ascii="Arial" w:hAnsi="Arial" w:cs="Arial"/>
          <w:noProof w:val="0"/>
          <w:szCs w:val="24"/>
          <w:lang w:eastAsia="en-GB"/>
        </w:rPr>
        <w:t>Half termly professi</w:t>
      </w:r>
      <w:r>
        <w:rPr>
          <w:rFonts w:ascii="Arial" w:hAnsi="Arial" w:cs="Arial"/>
          <w:noProof w:val="0"/>
          <w:szCs w:val="24"/>
          <w:lang w:eastAsia="en-GB"/>
        </w:rPr>
        <w:t>onal reviews of progress with the professional mentor (member of Senior Team).</w:t>
      </w:r>
    </w:p>
    <w:p w:rsidR="00891647" w:rsidRDefault="0003563D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noProof w:val="0"/>
          <w:szCs w:val="24"/>
          <w:lang w:eastAsia="en-GB"/>
        </w:rPr>
      </w:pPr>
      <w:r>
        <w:rPr>
          <w:rFonts w:ascii="Arial" w:hAnsi="Arial" w:cs="Arial"/>
          <w:noProof w:val="0"/>
          <w:szCs w:val="24"/>
          <w:lang w:eastAsia="en-GB"/>
        </w:rPr>
        <w:t>Observations of experienced teachers.</w:t>
      </w:r>
    </w:p>
    <w:p w:rsidR="00891647" w:rsidRDefault="0003563D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noProof w:val="0"/>
          <w:szCs w:val="24"/>
          <w:lang w:eastAsia="en-GB"/>
        </w:rPr>
      </w:pPr>
      <w:r>
        <w:rPr>
          <w:rFonts w:ascii="Arial" w:hAnsi="Arial" w:cs="Arial"/>
          <w:noProof w:val="0"/>
          <w:szCs w:val="24"/>
          <w:lang w:eastAsia="en-GB"/>
        </w:rPr>
        <w:t>Student shadowing opportunities.</w:t>
      </w:r>
    </w:p>
    <w:p w:rsidR="00891647" w:rsidRDefault="0003563D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noProof w:val="0"/>
          <w:szCs w:val="24"/>
          <w:lang w:eastAsia="en-GB"/>
        </w:rPr>
      </w:pPr>
      <w:r>
        <w:rPr>
          <w:rFonts w:ascii="Arial" w:hAnsi="Arial" w:cs="Arial"/>
          <w:noProof w:val="0"/>
          <w:szCs w:val="24"/>
          <w:lang w:eastAsia="en-GB"/>
        </w:rPr>
        <w:t xml:space="preserve">Opportunities to participate in the Local Authority subject days, this will allow you to meet and network </w:t>
      </w:r>
      <w:r>
        <w:rPr>
          <w:rFonts w:ascii="Arial" w:hAnsi="Arial" w:cs="Arial"/>
          <w:noProof w:val="0"/>
          <w:szCs w:val="24"/>
          <w:lang w:eastAsia="en-GB"/>
        </w:rPr>
        <w:t>with other NQTs in your subject area.</w:t>
      </w:r>
    </w:p>
    <w:p w:rsidR="00891647" w:rsidRDefault="0003563D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noProof w:val="0"/>
          <w:szCs w:val="24"/>
          <w:lang w:eastAsia="en-GB"/>
        </w:rPr>
      </w:pPr>
      <w:r>
        <w:rPr>
          <w:rFonts w:ascii="Arial" w:hAnsi="Arial" w:cs="Arial"/>
          <w:noProof w:val="0"/>
          <w:szCs w:val="24"/>
          <w:lang w:eastAsia="en-GB"/>
        </w:rPr>
        <w:t>A full range of CPD activities including a programme of NQT twilights.</w:t>
      </w:r>
    </w:p>
    <w:p w:rsidR="00891647" w:rsidRDefault="0003563D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noProof w:val="0"/>
          <w:szCs w:val="24"/>
          <w:lang w:eastAsia="en-GB"/>
        </w:rPr>
      </w:pPr>
      <w:r>
        <w:rPr>
          <w:rFonts w:ascii="Arial" w:hAnsi="Arial" w:cs="Arial"/>
          <w:noProof w:val="0"/>
          <w:szCs w:val="24"/>
          <w:lang w:eastAsia="en-GB"/>
        </w:rPr>
        <w:lastRenderedPageBreak/>
        <w:t>Termly assessments in line with County guidance.</w:t>
      </w:r>
    </w:p>
    <w:p w:rsidR="00891647" w:rsidRDefault="00891647">
      <w:pPr>
        <w:spacing w:after="200" w:line="276" w:lineRule="auto"/>
        <w:ind w:left="360"/>
        <w:contextualSpacing/>
        <w:rPr>
          <w:rFonts w:ascii="Arial" w:hAnsi="Arial" w:cs="Arial"/>
          <w:noProof w:val="0"/>
          <w:szCs w:val="24"/>
          <w:lang w:eastAsia="en-GB"/>
        </w:rPr>
      </w:pPr>
    </w:p>
    <w:p w:rsidR="00891647" w:rsidRDefault="00891647">
      <w:pPr>
        <w:ind w:left="720"/>
        <w:contextualSpacing/>
        <w:rPr>
          <w:rFonts w:ascii="Arial" w:hAnsi="Arial" w:cs="Arial"/>
          <w:noProof w:val="0"/>
          <w:szCs w:val="24"/>
          <w:lang w:eastAsia="en-GB"/>
        </w:rPr>
      </w:pPr>
    </w:p>
    <w:p w:rsidR="00891647" w:rsidRDefault="0003563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 the start of the induction, all NQTs are issued with an induction booklet which outlines the </w:t>
      </w:r>
      <w:r>
        <w:rPr>
          <w:rFonts w:ascii="Arial" w:hAnsi="Arial" w:cs="Arial"/>
          <w:szCs w:val="24"/>
        </w:rPr>
        <w:t>Teachers’ Standards and contains templates to record all mentor meetings, professional tutor meetings, evaluations of CPD and a Standards tracker.  This enables a central record to be used as a source of evidence against the Teachers’ Standards.</w:t>
      </w:r>
    </w:p>
    <w:p w:rsidR="00891647" w:rsidRDefault="00891647">
      <w:pPr>
        <w:rPr>
          <w:rFonts w:ascii="Arial" w:hAnsi="Arial" w:cs="Arial"/>
          <w:szCs w:val="24"/>
        </w:rPr>
      </w:pPr>
    </w:p>
    <w:p w:rsidR="00891647" w:rsidRDefault="0003563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Nobel has</w:t>
      </w:r>
      <w:r>
        <w:rPr>
          <w:rFonts w:ascii="Arial" w:hAnsi="Arial" w:cs="Arial"/>
          <w:szCs w:val="24"/>
        </w:rPr>
        <w:t xml:space="preserve"> a strong history of successful NQT induction.  You can be assured that you will receive the very best experience on offer.</w:t>
      </w:r>
    </w:p>
    <w:p w:rsidR="00891647" w:rsidRDefault="0003563D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szCs w:val="24"/>
          <w:lang w:eastAsia="en-GB"/>
        </w:rPr>
      </w:pPr>
      <w:r>
        <w:rPr>
          <w:rFonts w:ascii="Arial" w:hAnsi="Arial" w:cs="Arial"/>
          <w:b/>
          <w:noProof w:val="0"/>
          <w:szCs w:val="24"/>
          <w:lang w:eastAsia="en-GB"/>
        </w:rPr>
        <w:br w:type="page"/>
      </w:r>
    </w:p>
    <w:p w:rsidR="00891647" w:rsidRDefault="00891647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szCs w:val="24"/>
          <w:lang w:eastAsia="en-GB"/>
        </w:rPr>
      </w:pPr>
    </w:p>
    <w:p w:rsidR="00891647" w:rsidRDefault="00891647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szCs w:val="24"/>
          <w:lang w:eastAsia="en-GB"/>
        </w:rPr>
      </w:pPr>
    </w:p>
    <w:p w:rsidR="00891647" w:rsidRDefault="0003563D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szCs w:val="24"/>
          <w:lang w:eastAsia="en-GB"/>
        </w:rPr>
      </w:pPr>
      <w:r>
        <w:rPr>
          <w:rFonts w:ascii="Arial" w:hAnsi="Arial" w:cs="Arial"/>
          <w:b/>
          <w:noProof w:val="0"/>
          <w:szCs w:val="24"/>
          <w:lang w:eastAsia="en-GB"/>
        </w:rPr>
        <w:t>PERSON SPECIFICATION:  PRE &amp; PSHCE Teacher</w:t>
      </w:r>
    </w:p>
    <w:p w:rsidR="00891647" w:rsidRDefault="00891647">
      <w:pPr>
        <w:jc w:val="center"/>
        <w:rPr>
          <w:rFonts w:ascii="Arial" w:hAnsi="Arial" w:cs="Arial"/>
          <w:b/>
          <w:szCs w:val="24"/>
        </w:rPr>
      </w:pPr>
    </w:p>
    <w:p w:rsidR="00891647" w:rsidRDefault="00891647">
      <w:pPr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91647">
        <w:tc>
          <w:tcPr>
            <w:tcW w:w="4261" w:type="dxa"/>
            <w:tcBorders>
              <w:bottom w:val="nil"/>
            </w:tcBorders>
          </w:tcPr>
          <w:p w:rsidR="00891647" w:rsidRDefault="000356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 w:val="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 w:val="0"/>
                <w:szCs w:val="24"/>
                <w:lang w:eastAsia="en-GB"/>
              </w:rPr>
              <w:t>Essential</w:t>
            </w:r>
          </w:p>
        </w:tc>
        <w:tc>
          <w:tcPr>
            <w:tcW w:w="4261" w:type="dxa"/>
            <w:tcBorders>
              <w:bottom w:val="nil"/>
            </w:tcBorders>
          </w:tcPr>
          <w:p w:rsidR="00891647" w:rsidRDefault="000356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 w:val="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 w:val="0"/>
                <w:szCs w:val="24"/>
                <w:lang w:eastAsia="en-GB"/>
              </w:rPr>
              <w:t>Desirable</w:t>
            </w:r>
          </w:p>
        </w:tc>
      </w:tr>
      <w:tr w:rsidR="00891647">
        <w:trPr>
          <w:cantSplit/>
        </w:trPr>
        <w:tc>
          <w:tcPr>
            <w:tcW w:w="8522" w:type="dxa"/>
            <w:gridSpan w:val="2"/>
            <w:shd w:val="pct15" w:color="auto" w:fill="FFFFFF"/>
          </w:tcPr>
          <w:p w:rsidR="00891647" w:rsidRDefault="000356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 w:val="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 w:val="0"/>
                <w:szCs w:val="24"/>
                <w:lang w:eastAsia="en-GB"/>
              </w:rPr>
              <w:t>SKILLS AND EXPERIENCE</w:t>
            </w:r>
          </w:p>
        </w:tc>
      </w:tr>
      <w:tr w:rsidR="00891647"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Education to degree level in a </w:t>
            </w:r>
            <w:r>
              <w:rPr>
                <w:rFonts w:ascii="Arial" w:hAnsi="Arial" w:cs="Arial"/>
                <w:szCs w:val="24"/>
              </w:rPr>
              <w:t>Religious Studies/Philosophy/Theology specialist subject</w:t>
            </w:r>
          </w:p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teaching PSHE and/or Citizenship</w:t>
            </w:r>
          </w:p>
        </w:tc>
      </w:tr>
      <w:tr w:rsidR="00891647"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Evidence of successful initial experience or teaching practice</w:t>
            </w:r>
          </w:p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Teaching practice or experience in a comprehensive/wide ability school</w:t>
            </w:r>
          </w:p>
        </w:tc>
      </w:tr>
      <w:tr w:rsidR="00891647"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Potential </w:t>
            </w:r>
            <w:r>
              <w:rPr>
                <w:rFonts w:ascii="Arial" w:hAnsi="Arial" w:cs="Arial"/>
                <w:szCs w:val="24"/>
              </w:rPr>
              <w:t>expertise in the teaching of  Religious Studies to all key stages</w:t>
            </w:r>
          </w:p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Experience of teaching KS5 Religious Studies </w:t>
            </w:r>
          </w:p>
        </w:tc>
      </w:tr>
      <w:tr w:rsidR="00891647"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Willingness and ability to participate in cross-curricular activity</w:t>
            </w:r>
          </w:p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Evidence of involvement in team working to improve practice</w:t>
            </w:r>
          </w:p>
        </w:tc>
      </w:tr>
      <w:tr w:rsidR="00891647">
        <w:tc>
          <w:tcPr>
            <w:tcW w:w="4261" w:type="dxa"/>
            <w:tcBorders>
              <w:bottom w:val="nil"/>
            </w:tcBorders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knowledge and understanding of the Religious Studies Curriculum and structure of Locally Agreed Syllabi. </w:t>
            </w:r>
          </w:p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  <w:tcBorders>
              <w:bottom w:val="nil"/>
            </w:tcBorders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Experience of planning and delivering lessons for the AQA GCSE Christianity and Islam Course </w:t>
            </w:r>
          </w:p>
        </w:tc>
      </w:tr>
      <w:tr w:rsidR="00891647">
        <w:tc>
          <w:tcPr>
            <w:tcW w:w="4261" w:type="dxa"/>
            <w:tcBorders>
              <w:bottom w:val="nil"/>
            </w:tcBorders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Excellent oral and written communication skills</w:t>
            </w:r>
          </w:p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  <w:tcBorders>
              <w:bottom w:val="nil"/>
            </w:tcBorders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Good/excellent IT skills</w:t>
            </w:r>
          </w:p>
        </w:tc>
      </w:tr>
      <w:tr w:rsidR="00891647">
        <w:trPr>
          <w:cantSplit/>
        </w:trPr>
        <w:tc>
          <w:tcPr>
            <w:tcW w:w="8522" w:type="dxa"/>
            <w:gridSpan w:val="2"/>
            <w:shd w:val="pct15" w:color="auto" w:fill="FFFFFF"/>
          </w:tcPr>
          <w:p w:rsidR="00891647" w:rsidRDefault="000356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ascii="Arial" w:hAnsi="Arial" w:cs="Arial"/>
                <w:b/>
                <w:noProof w:val="0"/>
                <w:szCs w:val="24"/>
                <w:lang w:eastAsia="en-GB"/>
              </w:rPr>
              <w:t>PERSONAL QUALITIES</w:t>
            </w:r>
          </w:p>
        </w:tc>
      </w:tr>
      <w:tr w:rsidR="00891647"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Commitment and relability</w:t>
            </w:r>
          </w:p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time management</w:t>
            </w:r>
          </w:p>
        </w:tc>
      </w:tr>
      <w:tr w:rsidR="00891647"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Ability to establish good relationships with pupils, parents and staff</w:t>
            </w:r>
          </w:p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Perseverance</w:t>
            </w:r>
          </w:p>
        </w:tc>
      </w:tr>
      <w:tr w:rsidR="00891647"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Sound organisational skills and ability to meet deadlines</w:t>
            </w:r>
          </w:p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Creativity </w:t>
            </w:r>
          </w:p>
        </w:tc>
      </w:tr>
      <w:tr w:rsidR="00891647"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Enthusiasm and passion for the subject</w:t>
            </w:r>
          </w:p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Flexibility</w:t>
            </w:r>
          </w:p>
        </w:tc>
      </w:tr>
      <w:tr w:rsidR="00891647"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  <w:p w:rsidR="00891647" w:rsidRDefault="000356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good role model for our students </w:t>
            </w:r>
          </w:p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 w:rsidR="00891647" w:rsidRDefault="0089164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91647" w:rsidRDefault="00891647">
      <w:pPr>
        <w:rPr>
          <w:lang w:eastAsia="en-GB"/>
        </w:rPr>
      </w:pPr>
    </w:p>
    <w:p w:rsidR="00891647" w:rsidRDefault="0003563D">
      <w:pPr>
        <w:rPr>
          <w:lang w:eastAsia="en-GB"/>
        </w:rPr>
      </w:pPr>
      <w:r>
        <w:rPr>
          <w:rFonts w:ascii="Arial" w:hAnsi="Arial" w:cs="Arial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GB Nobel Primary Logo Final 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647" w:rsidRDefault="00891647">
      <w:pPr>
        <w:rPr>
          <w:rFonts w:ascii="Arial" w:eastAsia="Times New Roman" w:hAnsi="Arial" w:cs="Arial"/>
          <w:b/>
          <w:bCs/>
          <w:noProof w:val="0"/>
          <w:sz w:val="76"/>
          <w:szCs w:val="76"/>
        </w:rPr>
      </w:pPr>
    </w:p>
    <w:p w:rsidR="0003563D" w:rsidRDefault="0003563D">
      <w:pPr>
        <w:rPr>
          <w:rFonts w:ascii="Arial" w:eastAsia="Times New Roman" w:hAnsi="Arial" w:cs="Arial"/>
          <w:b/>
          <w:bCs/>
          <w:noProof w:val="0"/>
          <w:szCs w:val="24"/>
          <w:lang w:eastAsia="en-GB"/>
        </w:rPr>
      </w:pPr>
    </w:p>
    <w:p w:rsidR="00891647" w:rsidRDefault="0003563D">
      <w:pPr>
        <w:rPr>
          <w:rFonts w:ascii="Arial" w:eastAsia="Times New Roman" w:hAnsi="Arial" w:cs="Arial"/>
          <w:b/>
          <w:bCs/>
          <w:noProof w:val="0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 w:val="0"/>
          <w:szCs w:val="24"/>
          <w:lang w:eastAsia="en-GB"/>
        </w:rPr>
        <w:t>Job Description</w:t>
      </w:r>
    </w:p>
    <w:p w:rsidR="00891647" w:rsidRDefault="00891647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szCs w:val="24"/>
          <w:lang w:eastAsia="en-GB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5"/>
        <w:gridCol w:w="5253"/>
      </w:tblGrid>
      <w:tr w:rsidR="00891647">
        <w:trPr>
          <w:trHeight w:val="223"/>
        </w:trPr>
        <w:tc>
          <w:tcPr>
            <w:tcW w:w="5255" w:type="dxa"/>
            <w:shd w:val="clear" w:color="auto" w:fill="auto"/>
          </w:tcPr>
          <w:p w:rsidR="00891647" w:rsidRDefault="0003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253" w:type="dxa"/>
            <w:shd w:val="clear" w:color="auto" w:fill="auto"/>
          </w:tcPr>
          <w:p w:rsidR="00891647" w:rsidRDefault="0003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</w:t>
            </w:r>
          </w:p>
        </w:tc>
      </w:tr>
      <w:tr w:rsidR="00891647">
        <w:trPr>
          <w:trHeight w:val="223"/>
        </w:trPr>
        <w:tc>
          <w:tcPr>
            <w:tcW w:w="5255" w:type="dxa"/>
            <w:shd w:val="clear" w:color="auto" w:fill="auto"/>
          </w:tcPr>
          <w:p w:rsidR="00891647" w:rsidRDefault="0003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date</w:t>
            </w:r>
          </w:p>
        </w:tc>
        <w:tc>
          <w:tcPr>
            <w:tcW w:w="5253" w:type="dxa"/>
            <w:shd w:val="clear" w:color="auto" w:fill="auto"/>
          </w:tcPr>
          <w:p w:rsidR="00891647" w:rsidRDefault="0003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2019</w:t>
            </w:r>
          </w:p>
        </w:tc>
      </w:tr>
      <w:tr w:rsidR="00891647">
        <w:trPr>
          <w:trHeight w:val="223"/>
        </w:trPr>
        <w:tc>
          <w:tcPr>
            <w:tcW w:w="5255" w:type="dxa"/>
            <w:shd w:val="clear" w:color="auto" w:fill="auto"/>
          </w:tcPr>
          <w:p w:rsidR="00891647" w:rsidRDefault="0003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Postholder’s signature</w:t>
            </w:r>
          </w:p>
        </w:tc>
        <w:tc>
          <w:tcPr>
            <w:tcW w:w="5253" w:type="dxa"/>
            <w:shd w:val="clear" w:color="auto" w:fill="auto"/>
          </w:tcPr>
          <w:p w:rsidR="00891647" w:rsidRDefault="00891647">
            <w:pPr>
              <w:rPr>
                <w:rFonts w:ascii="Arial" w:hAnsi="Arial" w:cs="Arial"/>
              </w:rPr>
            </w:pPr>
          </w:p>
        </w:tc>
      </w:tr>
      <w:tr w:rsidR="00891647">
        <w:trPr>
          <w:trHeight w:val="223"/>
        </w:trPr>
        <w:tc>
          <w:tcPr>
            <w:tcW w:w="5255" w:type="dxa"/>
            <w:shd w:val="clear" w:color="auto" w:fill="auto"/>
          </w:tcPr>
          <w:p w:rsidR="00891647" w:rsidRDefault="0003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Authorising officer’s signature</w:t>
            </w:r>
          </w:p>
        </w:tc>
        <w:tc>
          <w:tcPr>
            <w:tcW w:w="5253" w:type="dxa"/>
            <w:shd w:val="clear" w:color="auto" w:fill="auto"/>
          </w:tcPr>
          <w:p w:rsidR="00891647" w:rsidRDefault="00891647">
            <w:pPr>
              <w:rPr>
                <w:rFonts w:ascii="Arial" w:hAnsi="Arial" w:cs="Arial"/>
              </w:rPr>
            </w:pPr>
          </w:p>
        </w:tc>
      </w:tr>
      <w:tr w:rsidR="00891647">
        <w:trPr>
          <w:trHeight w:val="223"/>
        </w:trPr>
        <w:tc>
          <w:tcPr>
            <w:tcW w:w="5255" w:type="dxa"/>
            <w:shd w:val="clear" w:color="auto" w:fill="auto"/>
          </w:tcPr>
          <w:p w:rsidR="00891647" w:rsidRDefault="0003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Reviewer</w:t>
            </w:r>
          </w:p>
        </w:tc>
        <w:tc>
          <w:tcPr>
            <w:tcW w:w="5253" w:type="dxa"/>
            <w:shd w:val="clear" w:color="auto" w:fill="auto"/>
          </w:tcPr>
          <w:p w:rsidR="00891647" w:rsidRDefault="00891647">
            <w:pPr>
              <w:rPr>
                <w:rFonts w:ascii="Arial" w:hAnsi="Arial" w:cs="Arial"/>
              </w:rPr>
            </w:pPr>
          </w:p>
        </w:tc>
      </w:tr>
      <w:tr w:rsidR="00891647">
        <w:trPr>
          <w:trHeight w:val="223"/>
        </w:trPr>
        <w:tc>
          <w:tcPr>
            <w:tcW w:w="5255" w:type="dxa"/>
            <w:shd w:val="clear" w:color="auto" w:fill="auto"/>
          </w:tcPr>
          <w:p w:rsidR="00891647" w:rsidRDefault="0003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date</w:t>
            </w:r>
          </w:p>
        </w:tc>
        <w:tc>
          <w:tcPr>
            <w:tcW w:w="5253" w:type="dxa"/>
            <w:shd w:val="clear" w:color="auto" w:fill="auto"/>
          </w:tcPr>
          <w:p w:rsidR="00891647" w:rsidRDefault="0003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2021</w:t>
            </w:r>
          </w:p>
        </w:tc>
      </w:tr>
      <w:tr w:rsidR="00891647">
        <w:trPr>
          <w:trHeight w:val="223"/>
        </w:trPr>
        <w:tc>
          <w:tcPr>
            <w:tcW w:w="5255" w:type="dxa"/>
            <w:shd w:val="clear" w:color="auto" w:fill="auto"/>
          </w:tcPr>
          <w:p w:rsidR="00891647" w:rsidRDefault="0003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  <w:tc>
          <w:tcPr>
            <w:tcW w:w="5253" w:type="dxa"/>
            <w:shd w:val="clear" w:color="auto" w:fill="auto"/>
          </w:tcPr>
          <w:p w:rsidR="00891647" w:rsidRDefault="0003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</w:t>
            </w:r>
          </w:p>
        </w:tc>
      </w:tr>
      <w:tr w:rsidR="00891647">
        <w:trPr>
          <w:trHeight w:val="223"/>
        </w:trPr>
        <w:tc>
          <w:tcPr>
            <w:tcW w:w="5255" w:type="dxa"/>
            <w:shd w:val="clear" w:color="auto" w:fill="auto"/>
          </w:tcPr>
          <w:p w:rsidR="00891647" w:rsidRDefault="000356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Salary</w:t>
            </w:r>
          </w:p>
        </w:tc>
        <w:tc>
          <w:tcPr>
            <w:tcW w:w="5253" w:type="dxa"/>
            <w:shd w:val="clear" w:color="auto" w:fill="auto"/>
          </w:tcPr>
          <w:p w:rsidR="00891647" w:rsidRDefault="0003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MPS</w:t>
            </w:r>
          </w:p>
        </w:tc>
      </w:tr>
    </w:tbl>
    <w:p w:rsidR="00891647" w:rsidRDefault="00891647"/>
    <w:p w:rsidR="00891647" w:rsidRDefault="0003563D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szCs w:val="24"/>
          <w:lang w:eastAsia="en-GB"/>
        </w:rPr>
      </w:pPr>
      <w:r>
        <w:rPr>
          <w:rFonts w:ascii="Arial" w:hAnsi="Arial" w:cs="Arial"/>
          <w:b/>
          <w:noProof w:val="0"/>
          <w:szCs w:val="24"/>
          <w:lang w:eastAsia="en-GB"/>
        </w:rPr>
        <w:t xml:space="preserve">Purpose </w:t>
      </w:r>
    </w:p>
    <w:p w:rsidR="00891647" w:rsidRDefault="000356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carry out the professional duties of a teacher as circumstances may require and in accordance with the school’s polices and the national teaching standards 2013.</w:t>
      </w:r>
    </w:p>
    <w:p w:rsidR="00891647" w:rsidRDefault="00891647">
      <w:pPr>
        <w:jc w:val="both"/>
        <w:rPr>
          <w:rFonts w:ascii="Arial" w:hAnsi="Arial" w:cs="Arial"/>
        </w:rPr>
      </w:pPr>
    </w:p>
    <w:p w:rsidR="00891647" w:rsidRDefault="000356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Context</w:t>
      </w:r>
    </w:p>
    <w:p w:rsidR="00891647" w:rsidRDefault="000356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primary </w:t>
      </w:r>
      <w:r>
        <w:rPr>
          <w:rFonts w:ascii="Arial" w:hAnsi="Arial" w:cs="Arial"/>
          <w:bCs/>
        </w:rPr>
        <w:t>responsibility of all teachers is to ensure that all students within their teaching and form groups attain to their maximum potential. The objectives are to ensure:</w:t>
      </w:r>
    </w:p>
    <w:p w:rsidR="00891647" w:rsidRDefault="0003563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consistently high standards of learning and teaching</w:t>
      </w:r>
    </w:p>
    <w:p w:rsidR="00891647" w:rsidRDefault="0003563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continual progress in educational achi</w:t>
      </w:r>
      <w:r>
        <w:rPr>
          <w:rFonts w:ascii="Arial" w:hAnsi="Arial" w:cs="Arial"/>
          <w:bCs/>
        </w:rPr>
        <w:t>evement</w:t>
      </w:r>
    </w:p>
    <w:p w:rsidR="00891647" w:rsidRDefault="0003563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positive attitudes to learning and school</w:t>
      </w:r>
    </w:p>
    <w:p w:rsidR="00891647" w:rsidRDefault="0003563D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personal and social development</w:t>
      </w:r>
    </w:p>
    <w:p w:rsidR="00891647" w:rsidRDefault="00891647">
      <w:pPr>
        <w:rPr>
          <w:rFonts w:ascii="Arial" w:hAnsi="Arial" w:cs="Arial"/>
          <w:bCs/>
        </w:rPr>
      </w:pPr>
    </w:p>
    <w:p w:rsidR="00891647" w:rsidRDefault="0003563D">
      <w:pPr>
        <w:autoSpaceDE w:val="0"/>
        <w:autoSpaceDN w:val="0"/>
        <w:adjustRightInd w:val="0"/>
        <w:rPr>
          <w:rFonts w:ascii="Arial" w:eastAsia="Calibri" w:hAnsi="Arial" w:cs="Arial"/>
          <w:noProof w:val="0"/>
          <w:color w:val="000000"/>
          <w:sz w:val="23"/>
          <w:szCs w:val="23"/>
        </w:rPr>
      </w:pPr>
      <w:r>
        <w:rPr>
          <w:rFonts w:ascii="Arial" w:eastAsia="Calibri" w:hAnsi="Arial" w:cs="Arial"/>
          <w:noProof w:val="0"/>
          <w:color w:val="000000"/>
          <w:sz w:val="23"/>
          <w:szCs w:val="23"/>
        </w:rPr>
        <w:t>Working Time: 195 days / 1265 hours per year - Full time (or Part-time equivalent).</w:t>
      </w:r>
    </w:p>
    <w:tbl>
      <w:tblPr>
        <w:tblpPr w:leftFromText="180" w:rightFromText="180" w:vertAnchor="text" w:horzAnchor="margin" w:tblpY="352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673"/>
      </w:tblGrid>
      <w:tr w:rsidR="00891647">
        <w:trPr>
          <w:trHeight w:val="420"/>
          <w:tblHeader/>
        </w:trPr>
        <w:tc>
          <w:tcPr>
            <w:tcW w:w="1951" w:type="dxa"/>
          </w:tcPr>
          <w:p w:rsidR="00891647" w:rsidRDefault="0003563D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color w:val="000000"/>
                <w:kern w:val="3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32"/>
                <w:szCs w:val="24"/>
              </w:rPr>
              <w:t>Area</w:t>
            </w:r>
          </w:p>
        </w:tc>
        <w:tc>
          <w:tcPr>
            <w:tcW w:w="8673" w:type="dxa"/>
          </w:tcPr>
          <w:p w:rsidR="00891647" w:rsidRDefault="0003563D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color w:val="000000"/>
                <w:kern w:val="3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32"/>
                <w:szCs w:val="24"/>
              </w:rPr>
              <w:t>Responsibilities</w:t>
            </w:r>
          </w:p>
        </w:tc>
      </w:tr>
      <w:tr w:rsidR="00891647">
        <w:trPr>
          <w:trHeight w:val="590"/>
        </w:trPr>
        <w:tc>
          <w:tcPr>
            <w:tcW w:w="1951" w:type="dxa"/>
          </w:tcPr>
          <w:p w:rsidR="00891647" w:rsidRDefault="0003563D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t>Line Management</w:t>
            </w:r>
          </w:p>
        </w:tc>
        <w:tc>
          <w:tcPr>
            <w:tcW w:w="8673" w:type="dxa"/>
          </w:tcPr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to: Headteacher; Director of Faculty; </w:t>
            </w:r>
            <w:r>
              <w:rPr>
                <w:rFonts w:ascii="Arial" w:hAnsi="Arial" w:cs="Arial"/>
              </w:rPr>
              <w:t>Director of Learning; Assistant Director of Learning; as appropriate.</w:t>
            </w:r>
          </w:p>
        </w:tc>
      </w:tr>
      <w:tr w:rsidR="00891647">
        <w:trPr>
          <w:trHeight w:val="590"/>
        </w:trPr>
        <w:tc>
          <w:tcPr>
            <w:tcW w:w="1951" w:type="dxa"/>
          </w:tcPr>
          <w:p w:rsidR="00891647" w:rsidRDefault="0003563D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t>Teaching &amp; Learning</w:t>
            </w:r>
          </w:p>
        </w:tc>
        <w:tc>
          <w:tcPr>
            <w:tcW w:w="8673" w:type="dxa"/>
          </w:tcPr>
          <w:p w:rsidR="00891647" w:rsidRDefault="0003563D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Plan and prepare lessons in line with subject schemes of work, using appropriate teaching methods and resources.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development of Schemes of Work and</w:t>
            </w:r>
            <w:r>
              <w:rPr>
                <w:rFonts w:ascii="Arial" w:hAnsi="Arial" w:cs="Arial"/>
              </w:rPr>
              <w:t xml:space="preserve"> Subject/Faculty/PSHE policies.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rigorous form tutoring/PSHE lessons, making planned and effective use of all teaching and tutoring time.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effective and efficient deployment of classroom support.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students are fully prepared for ex</w:t>
            </w:r>
            <w:r>
              <w:rPr>
                <w:rFonts w:ascii="Arial" w:hAnsi="Arial" w:cs="Arial"/>
              </w:rPr>
              <w:t>ternal examinations.</w:t>
            </w:r>
          </w:p>
        </w:tc>
      </w:tr>
      <w:tr w:rsidR="00891647">
        <w:trPr>
          <w:trHeight w:val="276"/>
        </w:trPr>
        <w:tc>
          <w:tcPr>
            <w:tcW w:w="1951" w:type="dxa"/>
          </w:tcPr>
          <w:p w:rsidR="00891647" w:rsidRDefault="0003563D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t>Pastoral</w:t>
            </w:r>
          </w:p>
        </w:tc>
        <w:tc>
          <w:tcPr>
            <w:tcW w:w="8673" w:type="dxa"/>
          </w:tcPr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high expectations for students’ behaviour, establishing and maintaining a good standard of discipline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student supervisory duties and cover for absent colleagues in line with school procedures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discipline</w:t>
            </w:r>
            <w:r>
              <w:rPr>
                <w:rFonts w:ascii="Arial" w:hAnsi="Arial" w:cs="Arial"/>
              </w:rPr>
              <w:t xml:space="preserve"> in accordance with the school Behaviour for Learning Policy.</w:t>
            </w:r>
          </w:p>
          <w:p w:rsidR="00891647" w:rsidRDefault="0003563D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Encourage good practice with regard to punctuality, behaviour, health &amp; safety, standards of work and homework.</w:t>
            </w:r>
          </w:p>
          <w:p w:rsidR="00891647" w:rsidRDefault="0003563D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Make every reasonable effort to ensure the Home School Agreement is adhered to.</w:t>
            </w:r>
          </w:p>
          <w:p w:rsidR="00891647" w:rsidRDefault="0003563D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Provide guidance and advice to students on educational and social matters, especially in the role as form tutor, if applicable.</w:t>
            </w:r>
          </w:p>
        </w:tc>
      </w:tr>
      <w:tr w:rsidR="00891647">
        <w:trPr>
          <w:trHeight w:val="590"/>
        </w:trPr>
        <w:tc>
          <w:tcPr>
            <w:tcW w:w="1951" w:type="dxa"/>
          </w:tcPr>
          <w:p w:rsidR="00891647" w:rsidRDefault="0003563D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t>Assessment</w:t>
            </w:r>
          </w:p>
        </w:tc>
        <w:tc>
          <w:tcPr>
            <w:tcW w:w="8673" w:type="dxa"/>
          </w:tcPr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and record each student’s progress through observation, questioning, testing and marking.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Make effective use </w:t>
            </w:r>
            <w:r>
              <w:rPr>
                <w:rFonts w:ascii="Arial" w:hAnsi="Arial" w:cs="Arial"/>
              </w:rPr>
              <w:t>of national, local and school data to set clear targets for students’ achievement and to monitor progress.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tracking and reporting deadlines.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subject/faculty monitoring of student assessment and keep DOLs, HOYs &amp; Form tutors informed abou</w:t>
            </w:r>
            <w:r>
              <w:rPr>
                <w:rFonts w:ascii="Arial" w:hAnsi="Arial" w:cs="Arial"/>
              </w:rPr>
              <w:t>t student progress.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effective assessment of students for external examinations, as required.</w:t>
            </w:r>
          </w:p>
        </w:tc>
      </w:tr>
      <w:tr w:rsidR="00891647">
        <w:trPr>
          <w:trHeight w:val="590"/>
        </w:trPr>
        <w:tc>
          <w:tcPr>
            <w:tcW w:w="1951" w:type="dxa"/>
          </w:tcPr>
          <w:p w:rsidR="00891647" w:rsidRDefault="0003563D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lastRenderedPageBreak/>
              <w:t>Reporting/</w:t>
            </w:r>
          </w:p>
          <w:p w:rsidR="00891647" w:rsidRDefault="0003563D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</w:rPr>
              <w:t>Communication</w:t>
            </w:r>
          </w:p>
        </w:tc>
        <w:tc>
          <w:tcPr>
            <w:tcW w:w="8673" w:type="dxa"/>
          </w:tcPr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familiarity with reporting requirements and prepare and present informative reports for parents.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as appropriate</w:t>
            </w:r>
            <w:r>
              <w:rPr>
                <w:rFonts w:ascii="Arial" w:hAnsi="Arial" w:cs="Arial"/>
              </w:rPr>
              <w:t xml:space="preserve"> with parents of students and external bodies concerned with student welfare.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part in activities such as Parents’ evenings, Review Days, Open Evenings, Faculty meetings, staff meetings and other meetings/events as required.</w:t>
            </w:r>
          </w:p>
        </w:tc>
      </w:tr>
      <w:tr w:rsidR="00891647">
        <w:trPr>
          <w:trHeight w:val="590"/>
        </w:trPr>
        <w:tc>
          <w:tcPr>
            <w:tcW w:w="1951" w:type="dxa"/>
          </w:tcPr>
          <w:p w:rsidR="00891647" w:rsidRDefault="0003563D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t>Form Tutorship (if applica</w:t>
            </w:r>
            <w:r>
              <w:rPr>
                <w:rFonts w:ascii="Arial" w:hAnsi="Arial" w:cs="Arial"/>
                <w:b/>
                <w:kern w:val="32"/>
                <w:szCs w:val="24"/>
              </w:rPr>
              <w:t>ble)</w:t>
            </w:r>
          </w:p>
        </w:tc>
        <w:tc>
          <w:tcPr>
            <w:tcW w:w="8673" w:type="dxa"/>
          </w:tcPr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high aspirations by monitoring the academic progress of form members and their attitudes to learning.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pastoral care of the form group, which supports the aims and values of the school, encouraging positive attitudes towards the Year an</w:t>
            </w:r>
            <w:r>
              <w:rPr>
                <w:rFonts w:ascii="Arial" w:hAnsi="Arial" w:cs="Arial"/>
              </w:rPr>
              <w:t>d Hours systems.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and maintain high standards of behaviour and discipline in accordance with the schools Behaviour for Learning policy;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support academic progress, attitude to learning and the behaviour of form members, intervening when</w:t>
            </w:r>
            <w:r>
              <w:rPr>
                <w:rFonts w:ascii="Arial" w:hAnsi="Arial" w:cs="Arial"/>
              </w:rPr>
              <w:t xml:space="preserve"> needed and communicating with parents/carers when required.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family focused events, e.g. Form Tutor Evening and New Intake Evening.</w:t>
            </w:r>
          </w:p>
        </w:tc>
      </w:tr>
      <w:tr w:rsidR="00891647">
        <w:trPr>
          <w:trHeight w:val="590"/>
        </w:trPr>
        <w:tc>
          <w:tcPr>
            <w:tcW w:w="1951" w:type="dxa"/>
          </w:tcPr>
          <w:p w:rsidR="00891647" w:rsidRDefault="0003563D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t>Performance Appraisal</w:t>
            </w:r>
          </w:p>
        </w:tc>
        <w:tc>
          <w:tcPr>
            <w:tcW w:w="8673" w:type="dxa"/>
          </w:tcPr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fully in the school’s Performance Appraisal arrangements.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own </w:t>
            </w:r>
            <w:r>
              <w:rPr>
                <w:rFonts w:ascii="Arial" w:hAnsi="Arial" w:cs="Arial"/>
              </w:rPr>
              <w:t>professional development and identify training needs.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part in lesson observations to share good practice and as part of the school’s self-evaluation.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on advice and feedback given and be open to support to improve own performance.</w:t>
            </w:r>
          </w:p>
        </w:tc>
      </w:tr>
      <w:tr w:rsidR="00891647">
        <w:trPr>
          <w:trHeight w:val="590"/>
        </w:trPr>
        <w:tc>
          <w:tcPr>
            <w:tcW w:w="1951" w:type="dxa"/>
          </w:tcPr>
          <w:p w:rsidR="00891647" w:rsidRDefault="0003563D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t xml:space="preserve">Other </w:t>
            </w:r>
          </w:p>
        </w:tc>
        <w:tc>
          <w:tcPr>
            <w:tcW w:w="8673" w:type="dxa"/>
          </w:tcPr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as</w:t>
            </w:r>
            <w:r>
              <w:rPr>
                <w:rFonts w:ascii="Arial" w:hAnsi="Arial" w:cs="Arial"/>
              </w:rPr>
              <w:t>semblies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registers for classes.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suitable cover work in good time for planned absences.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effective working relationships and set a good example through personal and professional conduct.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duties requested by line manager, HOF </w:t>
            </w:r>
            <w:r>
              <w:rPr>
                <w:rFonts w:ascii="Arial" w:hAnsi="Arial" w:cs="Arial"/>
              </w:rPr>
              <w:t>or Headteacher/SLT link.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play a full part in the life of the school community, to support its distinctive aims and ethos and to encourage staff and students to follow this example. </w:t>
            </w:r>
          </w:p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promote actively the school’s corporate policies and to comply with </w:t>
            </w:r>
            <w:r>
              <w:rPr>
                <w:rFonts w:ascii="Arial" w:hAnsi="Arial" w:cs="Arial"/>
              </w:rPr>
              <w:t>the school’s Health and safety policy and undertake risk assessments as appropriate.</w:t>
            </w:r>
          </w:p>
        </w:tc>
      </w:tr>
      <w:tr w:rsidR="00891647">
        <w:trPr>
          <w:trHeight w:val="590"/>
        </w:trPr>
        <w:tc>
          <w:tcPr>
            <w:tcW w:w="1951" w:type="dxa"/>
          </w:tcPr>
          <w:p w:rsidR="00891647" w:rsidRDefault="0003563D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</w:rPr>
              <w:lastRenderedPageBreak/>
              <w:t>MPS</w:t>
            </w:r>
          </w:p>
        </w:tc>
        <w:tc>
          <w:tcPr>
            <w:tcW w:w="8673" w:type="dxa"/>
          </w:tcPr>
          <w:p w:rsidR="00891647" w:rsidRDefault="0003563D">
            <w:pPr>
              <w:numPr>
                <w:ilvl w:val="0"/>
                <w:numId w:val="1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Pay Scale teachers in Band 1 (Teacher) are expected to meet the criteria laid down in the school’s Pay Policy.</w:t>
            </w:r>
          </w:p>
        </w:tc>
      </w:tr>
    </w:tbl>
    <w:p w:rsidR="00891647" w:rsidRDefault="00891647">
      <w:pPr>
        <w:autoSpaceDE w:val="0"/>
        <w:autoSpaceDN w:val="0"/>
        <w:adjustRightInd w:val="0"/>
        <w:jc w:val="both"/>
        <w:rPr>
          <w:rFonts w:ascii="Arial" w:hAnsi="Arial" w:cs="Arial"/>
          <w:color w:val="FFFFFF"/>
          <w:sz w:val="32"/>
          <w:szCs w:val="32"/>
        </w:rPr>
      </w:pPr>
      <w:bookmarkStart w:id="0" w:name="_GoBack"/>
      <w:bookmarkEnd w:id="0"/>
    </w:p>
    <w:sectPr w:rsidR="00891647">
      <w:headerReference w:type="default" r:id="rId9"/>
      <w:footerReference w:type="default" r:id="rId10"/>
      <w:pgSz w:w="11901" w:h="16840" w:code="9"/>
      <w:pgMar w:top="720" w:right="1077" w:bottom="737" w:left="107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47" w:rsidRDefault="0003563D">
      <w:r>
        <w:separator/>
      </w:r>
    </w:p>
  </w:endnote>
  <w:endnote w:type="continuationSeparator" w:id="0">
    <w:p w:rsidR="00891647" w:rsidRDefault="0003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47" w:rsidRDefault="00891647">
    <w:pPr>
      <w:pStyle w:val="Footer"/>
      <w:ind w:hanging="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47" w:rsidRDefault="0003563D">
      <w:r>
        <w:separator/>
      </w:r>
    </w:p>
  </w:footnote>
  <w:footnote w:type="continuationSeparator" w:id="0">
    <w:p w:rsidR="00891647" w:rsidRDefault="0003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47" w:rsidRDefault="00891647">
    <w:pPr>
      <w:pStyle w:val="Header"/>
      <w:ind w:hanging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94A"/>
    <w:multiLevelType w:val="hybridMultilevel"/>
    <w:tmpl w:val="E0D861F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244E4A"/>
    <w:multiLevelType w:val="hybridMultilevel"/>
    <w:tmpl w:val="7A8A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114D6"/>
    <w:multiLevelType w:val="hybridMultilevel"/>
    <w:tmpl w:val="FCE0EAA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02167C3"/>
    <w:multiLevelType w:val="hybridMultilevel"/>
    <w:tmpl w:val="DC5A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0CB9"/>
    <w:multiLevelType w:val="multilevel"/>
    <w:tmpl w:val="94E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786F"/>
    <w:multiLevelType w:val="hybridMultilevel"/>
    <w:tmpl w:val="3536E77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A6A51CC"/>
    <w:multiLevelType w:val="multilevel"/>
    <w:tmpl w:val="7D44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C5293"/>
    <w:multiLevelType w:val="hybridMultilevel"/>
    <w:tmpl w:val="56C2AAB8"/>
    <w:lvl w:ilvl="0" w:tplc="C114D416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77EB3"/>
    <w:multiLevelType w:val="hybridMultilevel"/>
    <w:tmpl w:val="CADA8C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F02A0"/>
    <w:multiLevelType w:val="hybridMultilevel"/>
    <w:tmpl w:val="854A123C"/>
    <w:lvl w:ilvl="0" w:tplc="464E8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452B"/>
    <w:multiLevelType w:val="hybridMultilevel"/>
    <w:tmpl w:val="9C806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F433C"/>
    <w:multiLevelType w:val="hybridMultilevel"/>
    <w:tmpl w:val="39D2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3493C"/>
    <w:multiLevelType w:val="hybridMultilevel"/>
    <w:tmpl w:val="7CEA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66B3D"/>
    <w:multiLevelType w:val="hybridMultilevel"/>
    <w:tmpl w:val="06F6729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90D6D80"/>
    <w:multiLevelType w:val="hybridMultilevel"/>
    <w:tmpl w:val="3CA876D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FE44034"/>
    <w:multiLevelType w:val="hybridMultilevel"/>
    <w:tmpl w:val="72A2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155C6"/>
    <w:multiLevelType w:val="hybridMultilevel"/>
    <w:tmpl w:val="A3F2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F6AA1"/>
    <w:multiLevelType w:val="hybridMultilevel"/>
    <w:tmpl w:val="E1A2B8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821F9"/>
    <w:multiLevelType w:val="multilevel"/>
    <w:tmpl w:val="2BFE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9"/>
  </w:num>
  <w:num w:numId="5">
    <w:abstractNumId w:val="7"/>
  </w:num>
  <w:num w:numId="6">
    <w:abstractNumId w:val="4"/>
  </w:num>
  <w:num w:numId="7">
    <w:abstractNumId w:val="15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5"/>
  </w:num>
  <w:num w:numId="13">
    <w:abstractNumId w:val="18"/>
  </w:num>
  <w:num w:numId="14">
    <w:abstractNumId w:val="1"/>
  </w:num>
  <w:num w:numId="15">
    <w:abstractNumId w:val="17"/>
  </w:num>
  <w:num w:numId="16">
    <w:abstractNumId w:val="12"/>
  </w:num>
  <w:num w:numId="17">
    <w:abstractNumId w:val="2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47"/>
    <w:rsid w:val="0003563D"/>
    <w:rsid w:val="008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315A49E7"/>
  <w15:chartTrackingRefBased/>
  <w15:docId w15:val="{3F0CFDE5-87EA-4A42-BDE8-B10C44BC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old" w:eastAsia="Dotum" w:hAnsi="Arial Bold"/>
      <w:color w:val="207DC4"/>
      <w:sz w:val="4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eastAsia="Dotum" w:hAnsi="Arial"/>
      <w:b/>
      <w:color w:val="F19612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eastAsia="Dotum" w:hAnsi="Arial"/>
      <w:color w:val="000000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 Bold" w:eastAsia="Dotum" w:hAnsi="Arial Bold"/>
      <w:color w:val="207DC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noProof w:val="0"/>
      <w:lang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  <w:lang w:eastAsia="en-GB"/>
    </w:rPr>
  </w:style>
  <w:style w:type="character" w:customStyle="1" w:styleId="swulcontent">
    <w:name w:val="sw_ul_content"/>
    <w:basedOn w:val="DefaultParagraphFont"/>
  </w:style>
  <w:style w:type="paragraph" w:customStyle="1" w:styleId="p1">
    <w:name w:val="p1"/>
    <w:basedOn w:val="Normal"/>
    <w:pPr>
      <w:spacing w:after="150"/>
    </w:pPr>
    <w:rPr>
      <w:rFonts w:ascii="Times New Roman" w:eastAsia="Times New Roman" w:hAnsi="Times New Roman"/>
      <w:noProof w:val="0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customStyle="1" w:styleId="A1">
    <w:name w:val="A1"/>
    <w:uiPriority w:val="99"/>
    <w:rPr>
      <w:rFonts w:cs="Gotham Book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pPr>
      <w:autoSpaceDE w:val="0"/>
      <w:autoSpaceDN w:val="0"/>
      <w:adjustRightInd w:val="0"/>
      <w:spacing w:line="241" w:lineRule="atLeast"/>
    </w:pPr>
    <w:rPr>
      <w:rFonts w:ascii="Gotham Medium" w:hAnsi="Gotham Medium"/>
      <w:noProof w:val="0"/>
      <w:szCs w:val="24"/>
      <w:lang w:eastAsia="en-GB"/>
    </w:rPr>
  </w:style>
  <w:style w:type="character" w:customStyle="1" w:styleId="kplpt">
    <w:name w:val="kplp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/>
      <w:b/>
      <w:bCs/>
      <w:noProof w:val="0"/>
      <w:szCs w:val="24"/>
    </w:rPr>
  </w:style>
  <w:style w:type="character" w:customStyle="1" w:styleId="TitleChar">
    <w:name w:val="Title Char"/>
    <w:link w:val="Title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Helvetica" w:hAnsi="Helvetica"/>
      <w:b/>
      <w:noProof/>
      <w:kern w:val="32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802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2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672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1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8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1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0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13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11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64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4439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65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4008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852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7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40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73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7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13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29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7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932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7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A2CA"/>
                                                        <w:left w:val="single" w:sz="6" w:space="0" w:color="00A2CA"/>
                                                        <w:bottom w:val="single" w:sz="6" w:space="0" w:color="00A2CA"/>
                                                        <w:right w:val="single" w:sz="6" w:space="0" w:color="00A2CA"/>
                                                      </w:divBdr>
                                                      <w:divsChild>
                                                        <w:div w:id="42018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641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4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9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7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1397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216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3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6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85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13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9544-F89B-4F56-8404-E0468738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8997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Whitehot Creative</Company>
  <LinksUpToDate>false</LinksUpToDate>
  <CharactersWithSpaces>10556</CharactersWithSpaces>
  <SharedDoc>false</SharedDoc>
  <HLinks>
    <vt:vector size="84" baseType="variant">
      <vt:variant>
        <vt:i4>7798879</vt:i4>
      </vt:variant>
      <vt:variant>
        <vt:i4>39</vt:i4>
      </vt:variant>
      <vt:variant>
        <vt:i4>0</vt:i4>
      </vt:variant>
      <vt:variant>
        <vt:i4>5</vt:i4>
      </vt:variant>
      <vt:variant>
        <vt:lpwstr>mailto:HR@nobel.herts.sch.uk</vt:lpwstr>
      </vt:variant>
      <vt:variant>
        <vt:lpwstr/>
      </vt:variant>
      <vt:variant>
        <vt:i4>1179733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https://twitter.com/nobelschooluk</vt:lpwstr>
      </vt:variant>
      <vt:variant>
        <vt:lpwstr/>
      </vt:variant>
      <vt:variant>
        <vt:i4>2949165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https://www.facebook.com/nobelschooluk</vt:lpwstr>
      </vt:variant>
      <vt:variant>
        <vt:lpwstr/>
      </vt:variant>
      <vt:variant>
        <vt:i4>3604585</vt:i4>
      </vt:variant>
      <vt:variant>
        <vt:i4>30</vt:i4>
      </vt:variant>
      <vt:variant>
        <vt:i4>0</vt:i4>
      </vt:variant>
      <vt:variant>
        <vt:i4>5</vt:i4>
      </vt:variant>
      <vt:variant>
        <vt:lpwstr>http://thenobelschool.org/</vt:lpwstr>
      </vt:variant>
      <vt:variant>
        <vt:lpwstr/>
      </vt:variant>
      <vt:variant>
        <vt:i4>5505044</vt:i4>
      </vt:variant>
      <vt:variant>
        <vt:i4>27</vt:i4>
      </vt:variant>
      <vt:variant>
        <vt:i4>0</vt:i4>
      </vt:variant>
      <vt:variant>
        <vt:i4>5</vt:i4>
      </vt:variant>
      <vt:variant>
        <vt:lpwstr>http://thenobelschool.org/venues/</vt:lpwstr>
      </vt:variant>
      <vt:variant>
        <vt:lpwstr/>
      </vt:variant>
      <vt:variant>
        <vt:i4>3080291</vt:i4>
      </vt:variant>
      <vt:variant>
        <vt:i4>24</vt:i4>
      </vt:variant>
      <vt:variant>
        <vt:i4>0</vt:i4>
      </vt:variant>
      <vt:variant>
        <vt:i4>5</vt:i4>
      </vt:variant>
      <vt:variant>
        <vt:lpwstr>http://thenobelschool.org/venues/fitness-suite/</vt:lpwstr>
      </vt:variant>
      <vt:variant>
        <vt:lpwstr/>
      </vt:variant>
      <vt:variant>
        <vt:i4>5701711</vt:i4>
      </vt:variant>
      <vt:variant>
        <vt:i4>21</vt:i4>
      </vt:variant>
      <vt:variant>
        <vt:i4>0</vt:i4>
      </vt:variant>
      <vt:variant>
        <vt:i4>5</vt:i4>
      </vt:variant>
      <vt:variant>
        <vt:lpwstr>http://thenobelschool.org/about-the-school/governors/</vt:lpwstr>
      </vt:variant>
      <vt:variant>
        <vt:lpwstr/>
      </vt:variant>
      <vt:variant>
        <vt:i4>7733283</vt:i4>
      </vt:variant>
      <vt:variant>
        <vt:i4>18</vt:i4>
      </vt:variant>
      <vt:variant>
        <vt:i4>0</vt:i4>
      </vt:variant>
      <vt:variant>
        <vt:i4>5</vt:i4>
      </vt:variant>
      <vt:variant>
        <vt:lpwstr>http://thenobelschool.org/venues/school-facilities/</vt:lpwstr>
      </vt:variant>
      <vt:variant>
        <vt:lpwstr/>
      </vt:variant>
      <vt:variant>
        <vt:i4>5046353</vt:i4>
      </vt:variant>
      <vt:variant>
        <vt:i4>15</vt:i4>
      </vt:variant>
      <vt:variant>
        <vt:i4>0</vt:i4>
      </vt:variant>
      <vt:variant>
        <vt:i4>5</vt:i4>
      </vt:variant>
      <vt:variant>
        <vt:lpwstr>http://www.hertsforlearning.co.uk/team/nqt-induction-service</vt:lpwstr>
      </vt:variant>
      <vt:variant>
        <vt:lpwstr/>
      </vt:variant>
      <vt:variant>
        <vt:i4>131082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http://www.educationtrust.org.uk/)and</vt:lpwstr>
      </vt:variant>
      <vt:variant>
        <vt:lpwstr/>
      </vt:variant>
      <vt:variant>
        <vt:i4>2162732</vt:i4>
      </vt:variant>
      <vt:variant>
        <vt:i4>9</vt:i4>
      </vt:variant>
      <vt:variant>
        <vt:i4>0</vt:i4>
      </vt:variant>
      <vt:variant>
        <vt:i4>5</vt:i4>
      </vt:variant>
      <vt:variant>
        <vt:lpwstr>http://www.northhertsteachingalliance.org/</vt:lpwstr>
      </vt:variant>
      <vt:variant>
        <vt:lpwstr/>
      </vt:variant>
      <vt:variant>
        <vt:i4>4522052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http://www.educationtrust.org.uk/</vt:lpwstr>
      </vt:variant>
      <vt:variant>
        <vt:lpwstr/>
      </vt:variant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S9PSsqPHRAhXFqxoKHTUSDmEQjRwIBw&amp;url=http://www.stevenage.gov.uk/regeneration/172013/172007/&amp;psig=AFQjCNEdHOl6wC1Ot-CRrRV6D4ffZQeW8w&amp;ust=1486121530276066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http://www.stevenage.gov.uk/regeneration/131675/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Earl</dc:creator>
  <cp:keywords/>
  <cp:lastModifiedBy>Marianne Burton-Evans</cp:lastModifiedBy>
  <cp:revision>2</cp:revision>
  <cp:lastPrinted>2017-05-26T11:40:00Z</cp:lastPrinted>
  <dcterms:created xsi:type="dcterms:W3CDTF">2021-03-11T17:35:00Z</dcterms:created>
  <dcterms:modified xsi:type="dcterms:W3CDTF">2021-03-11T17:35:00Z</dcterms:modified>
</cp:coreProperties>
</file>